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40" w:rsidRPr="00E121BB" w:rsidRDefault="00DA3040" w:rsidP="00DA3040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3D8A5D4" wp14:editId="695E95D9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40" w:rsidRPr="009A76AC" w:rsidRDefault="00DA3040" w:rsidP="00DA30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DA3040" w:rsidRPr="009A76AC" w:rsidRDefault="00DA3040" w:rsidP="00DA30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DA3040" w:rsidRPr="009A76AC" w:rsidRDefault="00DA3040" w:rsidP="00DA3040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DA3040" w:rsidRPr="005F5F47" w:rsidRDefault="00DA3040" w:rsidP="00DA30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ДВАДЦЯТЬ ДРУГА  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3040" w:rsidRPr="005F5F47" w:rsidRDefault="00DA3040" w:rsidP="00DA3040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</w:p>
    <w:p w:rsidR="00DA3040" w:rsidRPr="00DA3040" w:rsidRDefault="00DA3040" w:rsidP="00DA3040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DA3040">
        <w:rPr>
          <w:rStyle w:val="32pt"/>
          <w:b/>
          <w:spacing w:val="0"/>
          <w:sz w:val="28"/>
          <w:szCs w:val="28"/>
        </w:rPr>
        <w:t>РІШЕННЯ</w:t>
      </w:r>
    </w:p>
    <w:p w:rsidR="00DA3040" w:rsidRPr="00CF0C86" w:rsidRDefault="00DA3040" w:rsidP="00DA3040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 xml:space="preserve">від «   </w:t>
      </w:r>
      <w:r>
        <w:rPr>
          <w:rStyle w:val="20pt"/>
        </w:rPr>
        <w:t xml:space="preserve"> </w:t>
      </w:r>
      <w:r w:rsidRPr="00CF0C86">
        <w:rPr>
          <w:rStyle w:val="21"/>
          <w:rFonts w:eastAsia="Verdana"/>
        </w:rPr>
        <w:t>»</w:t>
      </w:r>
      <w:r w:rsidRPr="00CF0C86">
        <w:rPr>
          <w:rStyle w:val="21"/>
          <w:rFonts w:eastAsia="Verdana"/>
          <w:b w:val="0"/>
        </w:rPr>
        <w:t xml:space="preserve"> </w:t>
      </w:r>
      <w:r>
        <w:rPr>
          <w:b/>
          <w:color w:val="000000"/>
          <w:lang w:eastAsia="uk-UA" w:bidi="uk-UA"/>
        </w:rPr>
        <w:t>травня</w:t>
      </w:r>
      <w:r w:rsidRPr="00CF0C86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2017</w:t>
      </w:r>
      <w:r w:rsidRPr="00CF0C86">
        <w:rPr>
          <w:rStyle w:val="21"/>
          <w:rFonts w:eastAsia="Verdana"/>
          <w:b w:val="0"/>
        </w:rPr>
        <w:t xml:space="preserve"> </w:t>
      </w:r>
      <w:r w:rsidRPr="00CF0C86">
        <w:rPr>
          <w:b/>
          <w:color w:val="000000"/>
          <w:lang w:eastAsia="uk-UA" w:bidi="uk-UA"/>
        </w:rPr>
        <w:t>року</w:t>
      </w:r>
      <w:r w:rsidRPr="00CF0C86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 xml:space="preserve">   </w:t>
      </w:r>
      <w:r w:rsidRPr="00CF0C86">
        <w:rPr>
          <w:b/>
          <w:color w:val="000000"/>
          <w:lang w:eastAsia="uk-UA" w:bidi="uk-UA"/>
        </w:rPr>
        <w:t>№</w:t>
      </w:r>
      <w:r>
        <w:rPr>
          <w:b/>
          <w:color w:val="000000"/>
          <w:lang w:eastAsia="uk-UA" w:bidi="uk-UA"/>
        </w:rPr>
        <w:t xml:space="preserve"> Проект</w:t>
      </w:r>
    </w:p>
    <w:p w:rsidR="00DA3040" w:rsidRDefault="00DA3040" w:rsidP="00DA3040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>
        <w:rPr>
          <w:b/>
          <w:color w:val="000000"/>
          <w:lang w:eastAsia="uk-UA" w:bidi="uk-UA"/>
        </w:rPr>
        <w:t>затвердження програми</w:t>
      </w:r>
    </w:p>
    <w:p w:rsidR="00DA3040" w:rsidRDefault="00DA3040" w:rsidP="00DA3040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«Громадський бюджет Почаївської</w:t>
      </w:r>
    </w:p>
    <w:p w:rsidR="00DA3040" w:rsidRDefault="00DA3040" w:rsidP="00DA3040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МОТГ на 2017 рік»</w:t>
      </w:r>
    </w:p>
    <w:p w:rsidR="00DA3040" w:rsidRPr="009F1B4A" w:rsidRDefault="00DA3040" w:rsidP="00DA3040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</w:p>
    <w:p w:rsidR="00DA3040" w:rsidRDefault="006238B7" w:rsidP="00DA3040">
      <w:pPr>
        <w:pStyle w:val="20"/>
        <w:shd w:val="clear" w:color="auto" w:fill="auto"/>
        <w:spacing w:before="0" w:after="0" w:line="276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З</w:t>
      </w:r>
      <w:r w:rsidR="00DA3040" w:rsidRPr="00DA3040">
        <w:rPr>
          <w:color w:val="000000"/>
          <w:lang w:eastAsia="uk-UA" w:bidi="uk-UA"/>
        </w:rPr>
        <w:t xml:space="preserve"> метою підтримки ініціатив активних громадян і громадських організацій Почаївської міської об’єднаної територіальної громади, що спрямовані на вирішення соціальних та економічних проблем мешканців та виконання пріоритетних завдань Стратегії розвитку Почаївської МОТГ на 2017-2027 рр., а також для забезпечення прозорого та ефективного механізму надання ф</w:t>
      </w:r>
      <w:r w:rsidR="00DA3040">
        <w:rPr>
          <w:color w:val="000000"/>
          <w:lang w:eastAsia="uk-UA" w:bidi="uk-UA"/>
        </w:rPr>
        <w:t>інансування проектів розвитку,</w:t>
      </w:r>
      <w:r w:rsidRPr="006238B7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в</w:t>
      </w:r>
      <w:r w:rsidRPr="00DA3040">
        <w:rPr>
          <w:color w:val="000000"/>
          <w:lang w:eastAsia="uk-UA" w:bidi="uk-UA"/>
        </w:rPr>
        <w:t>ідповідно до п</w:t>
      </w:r>
      <w:r>
        <w:rPr>
          <w:color w:val="000000"/>
          <w:lang w:eastAsia="uk-UA" w:bidi="uk-UA"/>
        </w:rPr>
        <w:t>ункту 22 частини 1 статті 26</w:t>
      </w:r>
      <w:r w:rsidRPr="00DA3040">
        <w:rPr>
          <w:color w:val="000000"/>
          <w:lang w:eastAsia="uk-UA" w:bidi="uk-UA"/>
        </w:rPr>
        <w:t xml:space="preserve"> Закону України "Про місцеве самоврядування в Україні"</w:t>
      </w:r>
      <w:r w:rsidR="00DA3040">
        <w:rPr>
          <w:color w:val="000000"/>
          <w:lang w:eastAsia="uk-UA" w:bidi="uk-UA"/>
        </w:rPr>
        <w:t xml:space="preserve"> сесія Почаївської міської ради</w:t>
      </w:r>
    </w:p>
    <w:p w:rsidR="006238B7" w:rsidRPr="004F426A" w:rsidRDefault="006238B7" w:rsidP="00DA3040">
      <w:pPr>
        <w:pStyle w:val="20"/>
        <w:shd w:val="clear" w:color="auto" w:fill="auto"/>
        <w:spacing w:before="0" w:after="0" w:line="276" w:lineRule="auto"/>
        <w:ind w:firstLine="1000"/>
        <w:rPr>
          <w:color w:val="000000"/>
          <w:lang w:eastAsia="uk-UA" w:bidi="uk-UA"/>
        </w:rPr>
      </w:pPr>
    </w:p>
    <w:p w:rsidR="00DA3040" w:rsidRPr="00CF0C86" w:rsidRDefault="00DA3040" w:rsidP="00DA3040">
      <w:pPr>
        <w:pStyle w:val="10"/>
        <w:keepNext/>
        <w:keepLines/>
        <w:shd w:val="clear" w:color="auto" w:fill="auto"/>
        <w:spacing w:after="257" w:line="276" w:lineRule="auto"/>
        <w:ind w:right="20"/>
        <w:rPr>
          <w:sz w:val="28"/>
          <w:szCs w:val="28"/>
        </w:rPr>
      </w:pPr>
      <w:bookmarkStart w:id="0" w:name="bookmark1"/>
      <w:r w:rsidRPr="00CF0C86">
        <w:rPr>
          <w:color w:val="000000"/>
          <w:sz w:val="28"/>
          <w:szCs w:val="28"/>
          <w:lang w:eastAsia="uk-UA" w:bidi="uk-UA"/>
        </w:rPr>
        <w:t>ВИРІШИЛА:</w:t>
      </w:r>
      <w:bookmarkEnd w:id="0"/>
    </w:p>
    <w:p w:rsidR="006238B7" w:rsidRDefault="006238B7" w:rsidP="006238B7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Затвердити п</w:t>
      </w: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рограму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«Громадський бюджет Почаївської </w:t>
      </w: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МОТГ на 2017 рік»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згідно додатку1</w:t>
      </w: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238B7" w:rsidRPr="006238B7" w:rsidRDefault="006238B7" w:rsidP="006238B7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6238B7" w:rsidRDefault="006238B7" w:rsidP="006238B7">
      <w:pPr>
        <w:tabs>
          <w:tab w:val="left" w:pos="-538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38B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Головному бухг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алтеру Почаївської міської ради (</w:t>
      </w:r>
      <w:r w:rsidR="001D47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Боцюк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І</w:t>
      </w:r>
      <w:r w:rsidRPr="00623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внесенні змін до міського бюджету на 2017 рік </w:t>
      </w:r>
      <w:r w:rsidRPr="006238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виділити кошти для фінансування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«Громадський бюджет Почаївської </w:t>
      </w: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МОТГ на 2017 рік»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238B7" w:rsidRPr="006238B7" w:rsidRDefault="006238B7" w:rsidP="006238B7">
      <w:pPr>
        <w:tabs>
          <w:tab w:val="left" w:pos="-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38B7" w:rsidRPr="006238B7" w:rsidRDefault="006238B7" w:rsidP="006238B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3. Контроль за виконанням цього рішен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 покладаю на заступника міського голови Чубик А. В</w:t>
      </w:r>
      <w:r w:rsidRPr="006238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DA3040" w:rsidRPr="00CF0C86" w:rsidRDefault="00DA3040" w:rsidP="00DA3040">
      <w:pPr>
        <w:pStyle w:val="10"/>
        <w:keepNext/>
        <w:keepLines/>
        <w:shd w:val="clear" w:color="auto" w:fill="auto"/>
        <w:spacing w:line="260" w:lineRule="exact"/>
        <w:jc w:val="both"/>
        <w:rPr>
          <w:color w:val="000000"/>
          <w:lang w:eastAsia="uk-UA" w:bidi="uk-UA"/>
        </w:rPr>
      </w:pPr>
    </w:p>
    <w:p w:rsidR="00DA3040" w:rsidRDefault="00DA3040" w:rsidP="00DA3040">
      <w:pPr>
        <w:pStyle w:val="30"/>
        <w:shd w:val="clear" w:color="auto" w:fill="auto"/>
        <w:spacing w:after="0" w:line="245" w:lineRule="exact"/>
        <w:jc w:val="both"/>
        <w:rPr>
          <w:rStyle w:val="3105pt0pt"/>
          <w:b/>
          <w:bCs/>
          <w:sz w:val="28"/>
          <w:szCs w:val="28"/>
        </w:rPr>
      </w:pPr>
      <w:r w:rsidRPr="00CB029D">
        <w:rPr>
          <w:b w:val="0"/>
          <w:noProof/>
          <w:sz w:val="28"/>
          <w:szCs w:val="28"/>
          <w:lang w:eastAsia="uk-UA"/>
        </w:rPr>
        <mc:AlternateContent>
          <mc:Choice Requires="wps">
            <w:drawing>
              <wp:anchor distT="0" distB="256540" distL="63500" distR="63500" simplePos="0" relativeHeight="251659264" behindDoc="1" locked="0" layoutInCell="1" allowOverlap="1" wp14:anchorId="7365F9AF" wp14:editId="2A28AAE2">
                <wp:simplePos x="0" y="0"/>
                <wp:positionH relativeFrom="margin">
                  <wp:posOffset>5501005</wp:posOffset>
                </wp:positionH>
                <wp:positionV relativeFrom="paragraph">
                  <wp:posOffset>360045</wp:posOffset>
                </wp:positionV>
                <wp:extent cx="859790" cy="165100"/>
                <wp:effectExtent l="0" t="0" r="1651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040" w:rsidRDefault="00DA3040" w:rsidP="00DA3040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5F9A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3.15pt;margin-top:28.35pt;width:67.7pt;height:13pt;z-index:-251657216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" filled="f" stroked="f">
                <v:textbox style="mso-fit-shape-to-text:t" inset="0,0,0,0">
                  <w:txbxContent>
                    <w:p w:rsidR="00DA3040" w:rsidRDefault="00DA3040" w:rsidP="00DA3040">
                      <w:pPr>
                        <w:pStyle w:val="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DA3040" w:rsidRDefault="00DA3040" w:rsidP="00DA3040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8"/>
          <w:szCs w:val="28"/>
        </w:rPr>
      </w:pPr>
    </w:p>
    <w:p w:rsidR="00DA3040" w:rsidRPr="006238B7" w:rsidRDefault="00DA3040" w:rsidP="00DA3040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  <w:r w:rsidRPr="006238B7">
        <w:rPr>
          <w:rStyle w:val="3105pt0pt"/>
          <w:b/>
          <w:sz w:val="28"/>
          <w:szCs w:val="28"/>
        </w:rPr>
        <w:t>Чубик А.В.</w:t>
      </w:r>
      <w:r w:rsidRPr="006238B7">
        <w:rPr>
          <w:rStyle w:val="3105pt0pt"/>
          <w:b/>
          <w:sz w:val="24"/>
          <w:szCs w:val="24"/>
        </w:rPr>
        <w:t xml:space="preserve">  </w:t>
      </w:r>
    </w:p>
    <w:p w:rsidR="00DA3040" w:rsidRDefault="00DA3040" w:rsidP="00DA3040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6238B7" w:rsidRDefault="006238B7" w:rsidP="00DA3040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6238B7" w:rsidRDefault="006238B7" w:rsidP="00DA3040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6238B7" w:rsidRDefault="006238B7" w:rsidP="00DA3040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561256" w:rsidRDefault="00561256">
      <w:pPr>
        <w:rPr>
          <w:rStyle w:val="3105pt0pt"/>
          <w:rFonts w:eastAsiaTheme="minorHAnsi"/>
          <w:sz w:val="24"/>
          <w:szCs w:val="24"/>
        </w:rPr>
      </w:pPr>
      <w:r>
        <w:rPr>
          <w:rStyle w:val="3105pt0pt"/>
          <w:rFonts w:eastAsiaTheme="minorHAnsi"/>
          <w:b w:val="0"/>
          <w:bCs w:val="0"/>
          <w:sz w:val="24"/>
          <w:szCs w:val="24"/>
        </w:rPr>
        <w:br w:type="page"/>
      </w:r>
    </w:p>
    <w:p w:rsidR="00561256" w:rsidRPr="00CA2222" w:rsidRDefault="00561256" w:rsidP="00561256">
      <w:pPr>
        <w:spacing w:after="0"/>
        <w:ind w:left="6804" w:right="-143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Д</w:t>
      </w:r>
      <w:r w:rsidRPr="00CA222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одаток 1</w:t>
      </w:r>
    </w:p>
    <w:p w:rsidR="00561256" w:rsidRPr="00CA2222" w:rsidRDefault="00561256" w:rsidP="00561256">
      <w:pPr>
        <w:spacing w:after="0"/>
        <w:ind w:left="6804" w:right="-143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CA222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до рішення 22 сесії  </w:t>
      </w:r>
      <w:r w:rsidRPr="00CA222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  <w:t>Почаївської міської ради</w:t>
      </w:r>
      <w:r w:rsidRPr="00CA222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  <w:t>7 скликання</w:t>
      </w:r>
    </w:p>
    <w:p w:rsidR="00561256" w:rsidRPr="00CA2222" w:rsidRDefault="00561256" w:rsidP="00561256">
      <w:pPr>
        <w:spacing w:after="0"/>
        <w:ind w:left="6804" w:right="-143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CA222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від  _______  2017 року</w:t>
      </w: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left="5812" w:right="-143"/>
        <w:jc w:val="center"/>
        <w:rPr>
          <w:b/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center"/>
        <w:rPr>
          <w:color w:val="000000"/>
          <w:lang w:val="uk-UA"/>
        </w:rPr>
      </w:pPr>
      <w:r w:rsidRPr="00CA2222">
        <w:rPr>
          <w:b/>
          <w:bCs/>
          <w:color w:val="000000"/>
          <w:lang w:val="uk-UA"/>
        </w:rPr>
        <w:t>ПРОГРАМА</w:t>
      </w: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center"/>
        <w:rPr>
          <w:i/>
          <w:color w:val="000000"/>
          <w:lang w:val="uk-UA"/>
        </w:rPr>
      </w:pPr>
      <w:r w:rsidRPr="00CA2222">
        <w:rPr>
          <w:i/>
          <w:color w:val="000000"/>
          <w:lang w:val="uk-UA"/>
        </w:rPr>
        <w:t>впровадження місцевих ініціатив</w:t>
      </w: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center"/>
        <w:rPr>
          <w:i/>
          <w:color w:val="000000"/>
          <w:lang w:val="uk-UA"/>
        </w:rPr>
      </w:pPr>
      <w:r w:rsidRPr="00CA2222">
        <w:rPr>
          <w:i/>
          <w:color w:val="000000"/>
          <w:lang w:val="uk-UA"/>
        </w:rPr>
        <w:t>Почаївської міської об’єднаної територіальної громади</w:t>
      </w: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center"/>
        <w:rPr>
          <w:b/>
          <w:i/>
          <w:color w:val="000000"/>
          <w:lang w:val="uk-UA"/>
        </w:rPr>
      </w:pPr>
      <w:r w:rsidRPr="00CA2222">
        <w:rPr>
          <w:i/>
          <w:color w:val="000000"/>
          <w:lang w:val="uk-UA"/>
        </w:rPr>
        <w:t>на 2017 рік</w:t>
      </w: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rPr>
          <w:color w:val="000000"/>
          <w:lang w:val="uk-UA"/>
        </w:rPr>
      </w:pPr>
    </w:p>
    <w:p w:rsidR="00561256" w:rsidRPr="00CA2222" w:rsidRDefault="00561256" w:rsidP="00561256">
      <w:pPr>
        <w:spacing w:after="120"/>
        <w:ind w:left="360" w:right="-14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A2222">
        <w:rPr>
          <w:rFonts w:ascii="Times New Roman" w:hAnsi="Times New Roman"/>
          <w:b/>
          <w:color w:val="000000"/>
          <w:sz w:val="24"/>
          <w:szCs w:val="24"/>
          <w:lang w:val="uk-UA"/>
        </w:rPr>
        <w:t>1. 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891"/>
        <w:gridCol w:w="4111"/>
      </w:tblGrid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Програма впровадження місцевих ініціатив Почаївської міської об’єднаної територіальної громади на 2017 рік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голова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Дата, номер і назва розпорядчого документа на підставі якого розроблено програму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Рішення виконавчого комітету від 27 січня 2017 року №27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Чубик А.В.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Співрозробник</w:t>
            </w:r>
            <w:proofErr w:type="spellEnd"/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Тернопільська обласна громадська організація «Гуртом!»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Почаївська міська рада, головний розпорядник коштів.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6.1.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A22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Виконавець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 «Почаївська група»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111" w:type="dxa"/>
            <w:shd w:val="clear" w:color="auto" w:fill="auto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D609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ініціативні групи громадян та інститути громадянського суспільства Почаївської МОТГ, виконком Почаївської міської ради, підрозділи та комунальні підприємства Почаївської міської ради, 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2017р.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</w:tr>
      <w:tr w:rsidR="00561256" w:rsidRPr="00CA2222" w:rsidTr="009C12C0">
        <w:tc>
          <w:tcPr>
            <w:tcW w:w="462" w:type="dxa"/>
          </w:tcPr>
          <w:p w:rsidR="00561256" w:rsidRPr="00CA2222" w:rsidRDefault="00561256" w:rsidP="009C12C0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891" w:type="dxa"/>
          </w:tcPr>
          <w:p w:rsidR="00561256" w:rsidRPr="00CA2222" w:rsidRDefault="00561256" w:rsidP="009C12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111" w:type="dxa"/>
          </w:tcPr>
          <w:p w:rsidR="00561256" w:rsidRPr="00CA2222" w:rsidRDefault="00561256" w:rsidP="009C12C0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70000грн.</w:t>
            </w:r>
          </w:p>
        </w:tc>
      </w:tr>
    </w:tbl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center"/>
        <w:rPr>
          <w:b/>
          <w:bCs/>
          <w:color w:val="000000"/>
          <w:lang w:val="uk-UA"/>
        </w:rPr>
      </w:pPr>
      <w:r w:rsidRPr="00CA2222">
        <w:rPr>
          <w:b/>
          <w:bCs/>
          <w:color w:val="000000"/>
          <w:lang w:val="uk-UA"/>
        </w:rPr>
        <w:t>2. Визначення проблеми, на розв’язання якої спрямована програма</w:t>
      </w:r>
    </w:p>
    <w:p w:rsidR="00561256" w:rsidRPr="00CA2222" w:rsidRDefault="00561256" w:rsidP="00561256">
      <w:pPr>
        <w:shd w:val="clear" w:color="auto" w:fill="FFFFFF"/>
        <w:spacing w:before="120" w:after="0"/>
        <w:ind w:right="-14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A2222">
        <w:rPr>
          <w:rFonts w:ascii="Times New Roman" w:hAnsi="Times New Roman"/>
          <w:bCs/>
          <w:color w:val="000000"/>
          <w:sz w:val="24"/>
          <w:szCs w:val="24"/>
          <w:lang w:val="uk-UA"/>
        </w:rPr>
        <w:t>2.1. Рішенням №635 від 23.12.2016р.</w:t>
      </w:r>
      <w:r w:rsidRPr="0056125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CA222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Почаївська міська рада затвердила «Стратегію розвитку Почаївської міської об’єднаної територіальної громади на 2017-2027рр.» (далі – Стратегію). Реалізація Стратегії ґрунтується на активній участі в цьому процесі місцевого населення. Але фактичний стан залучення громадян до розвитку громади є на даний час вкрай низьким і не достатнім ні для реалізації Стратегії, ні для ефективного соціально-економічного розвитку об’єднаної територіальної громади в цілому (див. </w:t>
      </w:r>
      <w:hyperlink r:id="rId6" w:history="1">
        <w:r w:rsidRPr="00CA2222">
          <w:rPr>
            <w:rStyle w:val="a9"/>
            <w:rFonts w:ascii="Times New Roman" w:hAnsi="Times New Roman"/>
            <w:bCs/>
            <w:color w:val="000000"/>
            <w:sz w:val="24"/>
            <w:szCs w:val="24"/>
            <w:lang w:val="uk-UA"/>
          </w:rPr>
          <w:t>http://pochaiv-rada.gov.ua/strategiya-rozvytku-pochavsko-motg/</w:t>
        </w:r>
      </w:hyperlink>
      <w:r w:rsidRPr="00CA222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; «Контекст Стратегії розвитку Почаївської міської об’єднаної територіальної </w:t>
      </w:r>
      <w:r w:rsidRPr="00CA2222">
        <w:rPr>
          <w:rFonts w:ascii="Times New Roman" w:hAnsi="Times New Roman"/>
          <w:bCs/>
          <w:color w:val="000000"/>
          <w:sz w:val="24"/>
          <w:szCs w:val="24"/>
          <w:lang w:val="uk-UA"/>
        </w:rPr>
        <w:lastRenderedPageBreak/>
        <w:t>громади на 2017-2027рр.»; розділ 2. «Оцінка готовності Почаївської МОТГ до реалізації Стратегії розвитку»).</w:t>
      </w:r>
    </w:p>
    <w:p w:rsidR="00561256" w:rsidRPr="00CA2222" w:rsidRDefault="00561256" w:rsidP="00561256">
      <w:pPr>
        <w:shd w:val="clear" w:color="auto" w:fill="FFFFFF"/>
        <w:spacing w:before="120" w:after="0"/>
        <w:ind w:right="-14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A222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Тому одним із пріоритетних завдань Стратегії на 2017 рік визначено </w:t>
      </w:r>
      <w:r w:rsidRPr="00CA2222">
        <w:rPr>
          <w:rFonts w:ascii="Times New Roman" w:hAnsi="Times New Roman"/>
          <w:color w:val="000000"/>
          <w:sz w:val="24"/>
          <w:szCs w:val="24"/>
          <w:lang w:val="uk-UA"/>
        </w:rPr>
        <w:t xml:space="preserve">започаткування Програми впровадження місцевих ініціатив (див. </w:t>
      </w:r>
      <w:hyperlink r:id="rId7" w:history="1">
        <w:r w:rsidRPr="00CA2222">
          <w:rPr>
            <w:rStyle w:val="a9"/>
            <w:rFonts w:ascii="Times New Roman" w:hAnsi="Times New Roman"/>
            <w:bCs/>
            <w:color w:val="000000"/>
            <w:sz w:val="24"/>
            <w:szCs w:val="24"/>
            <w:lang w:val="uk-UA"/>
          </w:rPr>
          <w:t>http://pochaiv-rada.gov.ua/strategiya-rozvytku-pochavsko-motg/</w:t>
        </w:r>
      </w:hyperlink>
      <w:r w:rsidRPr="00CA222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; «Стратегія розвитку Почаївської міської об’єднаної територіальної громади на 2017-2027рр.»; </w:t>
      </w:r>
      <w:r w:rsidRPr="00CA2222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Операційна ціль 2.1 «Створення сприятливих умов для реалізації місцевих ініціатив та діяльності громадських об’єднань»).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 xml:space="preserve">2.2. «Програма впровадження місцевих ініціатив Почаївської міської об’єднаної територіальної громади на 2017 рік» (далі - Програма) спрямована на залучення громадян до безпосередньої участі в реалізації Стратегії розвитку Почаївської міської об’єднаної територіальної громади. Фінансовим інструментом підтримки місцевих ініціатив в 2017 році є </w:t>
      </w:r>
      <w:r w:rsidRPr="00CA2222">
        <w:rPr>
          <w:color w:val="000000"/>
          <w:lang w:val="uk-UA"/>
        </w:rPr>
        <w:t xml:space="preserve">Конкурс громадських проектів «Бюджет громадських ініціатив», проведення якого передбачено проектними пропозиціями для реалізації Стратегії в 2017 році (див. </w:t>
      </w:r>
      <w:hyperlink r:id="rId8" w:history="1">
        <w:r w:rsidRPr="00CA2222">
          <w:rPr>
            <w:rStyle w:val="a9"/>
            <w:bCs/>
            <w:color w:val="000000"/>
            <w:lang w:val="uk-UA"/>
          </w:rPr>
          <w:t>http://pochaiv-rada.gov.ua/strategiya-rozvytku-pochavsko-motg/</w:t>
        </w:r>
      </w:hyperlink>
      <w:r w:rsidRPr="00CA2222">
        <w:rPr>
          <w:bCs/>
          <w:color w:val="000000"/>
          <w:lang w:val="uk-UA"/>
        </w:rPr>
        <w:t>; «Контекст Стратегії розвитку Почаївської міської об’єднаної територіальної громади на 2017-2027рр.»; Додаток 4).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Використання даного фінансового інструменту для підвищення зацікавленості ініціативних груп громадян у вирішенні завдань розвитку сільських та міських територій об’єднаної громади ґрунтується на аналізі практики використання інструментів громадського (</w:t>
      </w:r>
      <w:proofErr w:type="spellStart"/>
      <w:r w:rsidRPr="00CA2222">
        <w:rPr>
          <w:bCs/>
          <w:color w:val="000000"/>
          <w:lang w:val="uk-UA"/>
        </w:rPr>
        <w:t>партисипативного</w:t>
      </w:r>
      <w:proofErr w:type="spellEnd"/>
      <w:r w:rsidRPr="00CA2222">
        <w:rPr>
          <w:bCs/>
          <w:color w:val="000000"/>
          <w:lang w:val="uk-UA"/>
        </w:rPr>
        <w:t>) бюджету в громадах України та Польщі (див. проекти, реалізовані в рамках Польсько-канадською програмі підтримки демократії).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center"/>
        <w:rPr>
          <w:b/>
          <w:bCs/>
          <w:color w:val="000000"/>
          <w:lang w:val="uk-UA"/>
        </w:rPr>
      </w:pPr>
      <w:r w:rsidRPr="00CA2222">
        <w:rPr>
          <w:b/>
          <w:bCs/>
          <w:color w:val="000000"/>
          <w:lang w:val="uk-UA"/>
        </w:rPr>
        <w:t>3. Визначення мети програми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 xml:space="preserve">Метою Програми є підтримка </w:t>
      </w:r>
      <w:r w:rsidRPr="00CA2222">
        <w:rPr>
          <w:rStyle w:val="a8"/>
          <w:b w:val="0"/>
          <w:color w:val="000000"/>
          <w:lang w:val="uk-UA"/>
        </w:rPr>
        <w:t>діяльності ініціативних груп, громадських організацій, органів самоорганізації населення, спрямованої на виконання окремих завдань соціально-економічного розвитку Почаївської міської об’єднаної територіальної громади</w:t>
      </w:r>
      <w:r w:rsidRPr="00CA2222">
        <w:rPr>
          <w:bCs/>
          <w:color w:val="000000"/>
          <w:lang w:val="uk-UA"/>
        </w:rPr>
        <w:t>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left="357"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left="357" w:right="-143"/>
        <w:jc w:val="center"/>
        <w:rPr>
          <w:b/>
          <w:bCs/>
          <w:color w:val="000000"/>
          <w:lang w:val="uk-UA"/>
        </w:rPr>
      </w:pPr>
      <w:r w:rsidRPr="00CA2222">
        <w:rPr>
          <w:b/>
          <w:bCs/>
          <w:color w:val="000000"/>
          <w:lang w:val="uk-UA"/>
        </w:rPr>
        <w:t>4. Обґрунтування шляхів і засобів розв’язання проблеми, обсягів</w:t>
      </w:r>
      <w:r w:rsidRPr="00CA2222">
        <w:rPr>
          <w:b/>
          <w:bCs/>
          <w:color w:val="000000"/>
          <w:lang w:val="uk-UA"/>
        </w:rPr>
        <w:br/>
        <w:t>та джерел фінансування; строки та етапи виконання програми</w:t>
      </w:r>
    </w:p>
    <w:p w:rsidR="00561256" w:rsidRPr="00CA2222" w:rsidRDefault="00561256" w:rsidP="00561256">
      <w:pPr>
        <w:pStyle w:val="a6"/>
        <w:shd w:val="clear" w:color="auto" w:fill="FFFFFF"/>
        <w:spacing w:before="120" w:beforeAutospacing="0" w:after="0" w:afterAutospacing="0" w:line="276" w:lineRule="auto"/>
        <w:ind w:right="-143"/>
        <w:jc w:val="both"/>
        <w:rPr>
          <w:color w:val="000000"/>
          <w:lang w:val="uk-UA"/>
        </w:rPr>
      </w:pPr>
      <w:r w:rsidRPr="00CA2222">
        <w:rPr>
          <w:rStyle w:val="a8"/>
          <w:b w:val="0"/>
          <w:color w:val="000000"/>
          <w:lang w:val="uk-UA"/>
        </w:rPr>
        <w:t xml:space="preserve">4.1. Програма передбачає впровадження </w:t>
      </w:r>
      <w:r w:rsidRPr="00CA2222">
        <w:rPr>
          <w:color w:val="000000"/>
          <w:lang w:val="uk-UA"/>
        </w:rPr>
        <w:t xml:space="preserve">Конкурсу громадських проектів «Бюджет громадських ініціатив». </w:t>
      </w:r>
      <w:r w:rsidRPr="00CA2222">
        <w:rPr>
          <w:rStyle w:val="a8"/>
          <w:b w:val="0"/>
          <w:color w:val="000000"/>
          <w:lang w:val="uk-UA"/>
        </w:rPr>
        <w:t>Бюджет громадських ініціатив</w:t>
      </w:r>
      <w:r w:rsidRPr="00CA2222">
        <w:rPr>
          <w:rStyle w:val="a8"/>
          <w:color w:val="000000"/>
          <w:lang w:val="uk-UA"/>
        </w:rPr>
        <w:t xml:space="preserve"> – </w:t>
      </w:r>
      <w:r w:rsidRPr="00CA2222">
        <w:rPr>
          <w:color w:val="000000"/>
          <w:lang w:val="uk-UA"/>
        </w:rPr>
        <w:t xml:space="preserve">це частина бюджету Почаївської громади, обсяг якої визначається щорічно міською радою. Ці кошти спрямовуються на проведення Конкурсу </w:t>
      </w:r>
      <w:r w:rsidRPr="009535F6">
        <w:rPr>
          <w:color w:val="000000"/>
          <w:lang w:val="uk-UA"/>
        </w:rPr>
        <w:t>громадських проектів «Бюджет громадських ініціатив»</w:t>
      </w:r>
      <w:r>
        <w:rPr>
          <w:color w:val="000000"/>
          <w:lang w:val="uk-UA"/>
        </w:rPr>
        <w:t xml:space="preserve"> </w:t>
      </w:r>
      <w:r w:rsidRPr="00CA2222">
        <w:rPr>
          <w:color w:val="000000"/>
          <w:lang w:val="uk-UA"/>
        </w:rPr>
        <w:t>та реалізацію кращих проектів розвитку громади, які надійшли на Конкурс громадських проектів «Бюджет громадських ініціатив» від мешканців Почаївської об’єднаної громади. В 2017 році її обсяг складає 70000грн. (див. «Програма соціально-економічного та культурного розвитку Почаївської міської об’єднаної територіальної громади на 2017 рік»; розділ4; п.3).</w:t>
      </w:r>
    </w:p>
    <w:p w:rsidR="00561256" w:rsidRPr="0063209C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63209C">
        <w:rPr>
          <w:bCs/>
          <w:color w:val="000000"/>
          <w:lang w:val="uk-UA"/>
        </w:rPr>
        <w:t>4.2. Впровадження Програми складається з двох етапів:</w:t>
      </w:r>
    </w:p>
    <w:p w:rsidR="00561256" w:rsidRPr="0063209C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63209C">
        <w:rPr>
          <w:bCs/>
          <w:color w:val="000000"/>
          <w:lang w:val="uk-UA"/>
        </w:rPr>
        <w:t>4.2.1 Проведення пілотного конкурсу громадських проектів «Бюджет громадських ініціатив-2017» (оголошення конкурсу, визначення проектів-переможців та їхня реалізація протягом 2017 року).</w:t>
      </w:r>
    </w:p>
    <w:p w:rsidR="00561256" w:rsidRPr="0063209C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63209C">
        <w:rPr>
          <w:bCs/>
          <w:color w:val="000000"/>
          <w:lang w:val="uk-UA"/>
        </w:rPr>
        <w:t>4.2.2. Проведення конкурсу громадських проектів «Бюджет громадських ініціатив-2018» (оголошення конкурсу та визначення проектів-переможців, які будуть профінансовані в 2018 році).</w:t>
      </w:r>
    </w:p>
    <w:p w:rsidR="00561256" w:rsidRPr="00CA2222" w:rsidRDefault="00561256" w:rsidP="00561256">
      <w:pPr>
        <w:pStyle w:val="a6"/>
        <w:shd w:val="clear" w:color="auto" w:fill="FFFFFF"/>
        <w:spacing w:before="120" w:beforeAutospacing="0" w:after="0" w:afterAutospacing="0" w:line="276" w:lineRule="auto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lastRenderedPageBreak/>
        <w:t>4.3.</w:t>
      </w:r>
      <w:r w:rsidRPr="00CA2222">
        <w:rPr>
          <w:color w:val="000000"/>
          <w:lang w:val="uk-UA"/>
        </w:rPr>
        <w:t xml:space="preserve"> </w:t>
      </w:r>
      <w:r w:rsidRPr="0080427C">
        <w:rPr>
          <w:color w:val="000000"/>
          <w:lang w:val="uk-UA"/>
        </w:rPr>
        <w:t>Проекти мають відповідати основним пріоритетам розвитку громади, визначеним Стратегією розвитку Почаївської міської об’єднаної громади та повинні бути спрямовані, зокрема, на покращення умов проживання мешканців, сприяти соціально-економічному, культурному і просторовому розвитку громади, впровадженню сучасних інноваційних проектів в усіх сферах життєдіяльності громади. Вимоги до проектів зазначаються в Положенні про Конкурс громадських проектів «Бюджет громадських ініціатив».</w:t>
      </w:r>
    </w:p>
    <w:p w:rsidR="00561256" w:rsidRPr="00CA2222" w:rsidRDefault="00561256" w:rsidP="00561256">
      <w:pPr>
        <w:pStyle w:val="a6"/>
        <w:shd w:val="clear" w:color="auto" w:fill="FFFFFF"/>
        <w:spacing w:before="120" w:beforeAutospacing="0" w:after="0" w:afterAutospacing="0" w:line="276" w:lineRule="auto"/>
        <w:rPr>
          <w:color w:val="000000"/>
          <w:lang w:val="uk-UA"/>
        </w:rPr>
      </w:pPr>
      <w:r w:rsidRPr="00CA2222">
        <w:rPr>
          <w:bCs/>
          <w:color w:val="000000"/>
          <w:lang w:val="uk-UA"/>
        </w:rPr>
        <w:t>Рекомендована тематика для громадських проектів в рамках даної Програми: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створення місцевих туристичних продуктів;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збереження культурних традицій та патріотичне виховання;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змістовне молодіжне дозвілля та робота з дітьми в літній період;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благоустрій територій;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color w:val="000000"/>
          <w:lang w:val="uk-UA"/>
        </w:rPr>
      </w:pPr>
      <w:r w:rsidRPr="00CA2222">
        <w:rPr>
          <w:bCs/>
          <w:color w:val="000000"/>
          <w:lang w:val="uk-UA"/>
        </w:rPr>
        <w:t>екологічне виховання</w:t>
      </w:r>
      <w:r w:rsidRPr="00CA2222">
        <w:rPr>
          <w:color w:val="000000"/>
          <w:lang w:val="uk-UA"/>
        </w:rPr>
        <w:t xml:space="preserve"> населення та збереження довкілля.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center"/>
        <w:rPr>
          <w:b/>
          <w:bCs/>
          <w:color w:val="000000"/>
          <w:lang w:val="uk-UA"/>
        </w:rPr>
      </w:pPr>
      <w:r w:rsidRPr="00CA2222">
        <w:rPr>
          <w:b/>
          <w:bCs/>
          <w:color w:val="000000"/>
          <w:lang w:val="uk-UA"/>
        </w:rPr>
        <w:t>5. Перелік завдань і заходів програми та результативні показники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5.1. Основними завданнями програми є: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Розвиток проектної діяльності серед населення громади, шляхом проведення відкритого конкурсу на кращі громадські проекти.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Реалізація кращих громадських проектів, спрямованих на виконання Стратегії розвитку Почаївської МОТГ.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Стимулювання процесу створення інститутів громадського суспільства та інших форм об’єднання громадян (ОСН, ОСББ та ін.), необхідних для досягнення цілей Стратегії Почаївської МОТГ.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Використання Почаївської міською радою інноваційних механізмів залучення громадян до виконання Стратегії розвитку Почаївської МОТГ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5.2. Основними заходами програми є: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Проведення пілотного конкурсу громадських проектів «Бюджет громадських ініціатив-2017».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Реалізація громадських проектів - переможців пілотного конкурсу громадських проектів «Бюджет громадських ініціатив-2017».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Проведення конкурсу громадських проектів «Бюджет громадських ініціатив-2018».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5.3. Результативні показники: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 xml:space="preserve">5.3.1. Показники витрат: 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Обсяг фінансування на організацію пілотного конкурсу громадських проектів «Бюджет громадських ініціатив-2017»  – 5000 грн.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Обсяг фінансування проектів-переможців пілотного конкурсу громадських проектів «Бюджет громадських ініціатив-2017» – 60000 грн.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Обсяг фінансування на організацію конкурсу громадських проектів «Бюджет громадських</w:t>
      </w:r>
      <w:r w:rsidRPr="00E0742E">
        <w:rPr>
          <w:bCs/>
          <w:color w:val="000000"/>
          <w:lang w:val="uk-UA"/>
        </w:rPr>
        <w:t xml:space="preserve"> ініціатив-2018»</w:t>
      </w:r>
      <w:r>
        <w:rPr>
          <w:bCs/>
          <w:color w:val="000000"/>
          <w:lang w:val="uk-UA"/>
        </w:rPr>
        <w:t xml:space="preserve"> - 5000 грн.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 xml:space="preserve">5.3.2.Показники продукту 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lastRenderedPageBreak/>
        <w:t>Кількість реалізованих проектів - переможців пілотного конкурсу громадських проектів «Бюджет громадських ініціатив-2017» - в межах затвердженого обсягу фінансування – 60000 грн.</w:t>
      </w:r>
    </w:p>
    <w:p w:rsidR="00561256" w:rsidRPr="0043361F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43361F">
        <w:rPr>
          <w:bCs/>
          <w:color w:val="000000"/>
          <w:lang w:val="uk-UA"/>
        </w:rPr>
        <w:t>Інформаційний супровід виконання Програми на сайті міської ради - не менше двох тематичних</w:t>
      </w:r>
      <w:r>
        <w:rPr>
          <w:bCs/>
          <w:color w:val="000000"/>
          <w:lang w:val="uk-UA"/>
        </w:rPr>
        <w:t xml:space="preserve"> інформаційних повідомлень в місяць.</w:t>
      </w:r>
    </w:p>
    <w:p w:rsidR="00561256" w:rsidRPr="00CA2222" w:rsidRDefault="00561256" w:rsidP="00561256">
      <w:pPr>
        <w:pStyle w:val="a6"/>
        <w:numPr>
          <w:ilvl w:val="0"/>
          <w:numId w:val="4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Досягнення мінімальної кількості проектів, поданих для участі в конкурсі громадських проектів «Бюджет громадських ініціатив-2018» - не менше 20 проектів.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center"/>
        <w:rPr>
          <w:rFonts w:eastAsia="Calibri"/>
          <w:b/>
          <w:color w:val="000000"/>
          <w:lang w:val="uk-UA"/>
        </w:rPr>
      </w:pPr>
      <w:r w:rsidRPr="00CA2222">
        <w:rPr>
          <w:b/>
          <w:bCs/>
          <w:color w:val="000000"/>
          <w:lang w:val="uk-UA"/>
        </w:rPr>
        <w:t xml:space="preserve">6. </w:t>
      </w:r>
      <w:r w:rsidRPr="00CA2222">
        <w:rPr>
          <w:rFonts w:eastAsia="Calibri"/>
          <w:b/>
          <w:color w:val="000000"/>
          <w:lang w:val="uk-UA"/>
        </w:rPr>
        <w:t>Напрями та перелік завдань і заходів Програми</w:t>
      </w:r>
    </w:p>
    <w:p w:rsidR="00561256" w:rsidRPr="00CA2222" w:rsidRDefault="00561256" w:rsidP="00561256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2096"/>
        <w:gridCol w:w="1134"/>
        <w:gridCol w:w="1417"/>
        <w:gridCol w:w="993"/>
        <w:gridCol w:w="1275"/>
        <w:gridCol w:w="1701"/>
      </w:tblGrid>
      <w:tr w:rsidR="00561256" w:rsidRPr="00CA2222" w:rsidTr="009C12C0">
        <w:trPr>
          <w:trHeight w:val="1118"/>
        </w:trPr>
        <w:tc>
          <w:tcPr>
            <w:tcW w:w="1590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Назва напряму діяльності</w:t>
            </w: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417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Орієнтовні обсяги фінансування (грн.)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Очікуванні результати</w:t>
            </w:r>
          </w:p>
        </w:tc>
      </w:tr>
      <w:tr w:rsidR="00561256" w:rsidRPr="00CA2222" w:rsidTr="009C12C0">
        <w:trPr>
          <w:trHeight w:val="428"/>
        </w:trPr>
        <w:tc>
          <w:tcPr>
            <w:tcW w:w="1590" w:type="dxa"/>
            <w:vMerge w:val="restart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Проведення пілотного конкурсу громадських проектів «Бюджет громадських ініціатив-2017»</w:t>
            </w: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Розробка нормативної бази та планування заходів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Квітень-травень</w:t>
            </w:r>
          </w:p>
        </w:tc>
        <w:tc>
          <w:tcPr>
            <w:tcW w:w="1417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«Почаївська група» виконавчий комітет Почаївської міської ради,, відділи міської ради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ind w:right="33"/>
              <w:jc w:val="center"/>
              <w:rPr>
                <w:color w:val="000000"/>
              </w:rPr>
            </w:pPr>
            <w:r w:rsidRPr="00CA2222">
              <w:rPr>
                <w:color w:val="00000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 Буде ініційовано розвиток проектної діяльності серед мешканців Почаївської МОТГ.</w:t>
            </w:r>
          </w:p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2. Будуть реалізовані громадські проекти - переможці пілотного конкурсу.</w:t>
            </w:r>
          </w:p>
        </w:tc>
      </w:tr>
      <w:tr w:rsidR="00561256" w:rsidRPr="00CA2222" w:rsidTr="009C12C0">
        <w:trPr>
          <w:trHeight w:val="481"/>
        </w:trPr>
        <w:tc>
          <w:tcPr>
            <w:tcW w:w="1590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Проведення інформаційно-просвітницької кампанії в громаді та прийом проектів на конкурс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Протягом 30 днів з дня оголошення про початок конкурсу</w:t>
            </w:r>
          </w:p>
        </w:tc>
        <w:tc>
          <w:tcPr>
            <w:tcW w:w="1417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574E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«Почаївська група» виконавчий комітет Почаївської міської ради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-.</w:t>
            </w:r>
          </w:p>
        </w:tc>
        <w:tc>
          <w:tcPr>
            <w:tcW w:w="1701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61256" w:rsidRPr="00CA2222" w:rsidTr="009C12C0">
        <w:trPr>
          <w:trHeight w:val="1139"/>
        </w:trPr>
        <w:tc>
          <w:tcPr>
            <w:tcW w:w="1590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Оцінювання зареєстрованих проектів та визначення переможців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Протягом 14 днів після завершена прийому проектів</w:t>
            </w:r>
          </w:p>
        </w:tc>
        <w:tc>
          <w:tcPr>
            <w:tcW w:w="1417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34B4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«Почаївська група»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123A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ind w:right="33"/>
              <w:jc w:val="center"/>
              <w:rPr>
                <w:color w:val="000000"/>
                <w:lang w:val="uk-UA"/>
              </w:rPr>
            </w:pPr>
            <w:r w:rsidRPr="00CA2222">
              <w:rPr>
                <w:color w:val="000000"/>
                <w:lang w:val="uk-UA"/>
              </w:rPr>
              <w:t>1000грн.</w:t>
            </w:r>
          </w:p>
        </w:tc>
        <w:tc>
          <w:tcPr>
            <w:tcW w:w="1701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61256" w:rsidRPr="00CA2222" w:rsidTr="009C12C0">
        <w:trPr>
          <w:trHeight w:val="428"/>
        </w:trPr>
        <w:tc>
          <w:tcPr>
            <w:tcW w:w="1590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Реалізація громадських проектів-переможців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Відповідно плану заходів проектів, але не пізніше, 30 вересня 2017р.</w:t>
            </w:r>
          </w:p>
        </w:tc>
        <w:tc>
          <w:tcPr>
            <w:tcW w:w="1417" w:type="dxa"/>
            <w:shd w:val="clear" w:color="auto" w:fill="auto"/>
          </w:tcPr>
          <w:p w:rsidR="00561256" w:rsidRPr="00EE3B5A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F610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«Почаївська група»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000 грн.</w:t>
            </w:r>
          </w:p>
        </w:tc>
        <w:tc>
          <w:tcPr>
            <w:tcW w:w="1701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61256" w:rsidRPr="00CA2222" w:rsidTr="009C12C0">
        <w:trPr>
          <w:trHeight w:val="428"/>
        </w:trPr>
        <w:tc>
          <w:tcPr>
            <w:tcW w:w="1590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Моніторинг та оцінювання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721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Відповідно плану заходів проектів</w:t>
            </w:r>
          </w:p>
        </w:tc>
        <w:tc>
          <w:tcPr>
            <w:tcW w:w="1417" w:type="dxa"/>
            <w:shd w:val="clear" w:color="auto" w:fill="auto"/>
          </w:tcPr>
          <w:p w:rsidR="00561256" w:rsidRPr="0072234D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Виконавчий комітет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61256" w:rsidRPr="00CA2222" w:rsidTr="009C12C0">
        <w:trPr>
          <w:trHeight w:val="428"/>
        </w:trPr>
        <w:tc>
          <w:tcPr>
            <w:tcW w:w="1590" w:type="dxa"/>
            <w:vMerge w:val="restart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Проведення конкурсу громадських проектів «Бюджет громадських ініціатив-2018» та визначення проектів-</w:t>
            </w:r>
            <w:r w:rsidRPr="00CA22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переможців, які будуть профінансовані в 2018 році</w:t>
            </w: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Розробка нормативної бази та планування заходів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«Почаївська група»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виконавчий комітет Почаївської міської ради,, відділи міської ради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Будуть визначені кращі громадські проекти, які отримають бюджетну підтримку для їх реалізації в 2018 році.</w:t>
            </w:r>
          </w:p>
        </w:tc>
      </w:tr>
      <w:tr w:rsidR="00561256" w:rsidRPr="00CA2222" w:rsidTr="009C12C0">
        <w:trPr>
          <w:trHeight w:val="481"/>
        </w:trPr>
        <w:tc>
          <w:tcPr>
            <w:tcW w:w="1590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7509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Проведення інформаційно-просвітницької кампанії в громаді та прийом проектів на конкурс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Серпень-вересень</w:t>
            </w:r>
          </w:p>
        </w:tc>
        <w:tc>
          <w:tcPr>
            <w:tcW w:w="1417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F5312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«Почаївська група»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F5312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виконавчий комітет Почаївської міської ради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000 грн.</w:t>
            </w:r>
          </w:p>
        </w:tc>
        <w:tc>
          <w:tcPr>
            <w:tcW w:w="1701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61256" w:rsidRPr="00CA2222" w:rsidTr="009C12C0">
        <w:trPr>
          <w:trHeight w:val="1380"/>
        </w:trPr>
        <w:tc>
          <w:tcPr>
            <w:tcW w:w="1590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Проведення </w:t>
            </w: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публічного обговорення зареєстрованих проектів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B208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«Почаївська група», виконавчий комітет Почаївської міської рад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61256" w:rsidRPr="00CA2222" w:rsidTr="009C12C0">
        <w:trPr>
          <w:trHeight w:val="1150"/>
        </w:trPr>
        <w:tc>
          <w:tcPr>
            <w:tcW w:w="1590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7631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Оцінювання зареєстрованих проектів та визначення переможців</w:t>
            </w:r>
          </w:p>
        </w:tc>
        <w:tc>
          <w:tcPr>
            <w:tcW w:w="113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417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7631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«Почаївська група»</w:t>
            </w:r>
          </w:p>
        </w:tc>
        <w:tc>
          <w:tcPr>
            <w:tcW w:w="993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2000 грн.</w:t>
            </w:r>
          </w:p>
        </w:tc>
        <w:tc>
          <w:tcPr>
            <w:tcW w:w="1701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61256" w:rsidRPr="00CA2222" w:rsidRDefault="00561256" w:rsidP="00561256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2"/>
        <w:jc w:val="both"/>
        <w:rPr>
          <w:b/>
          <w:bCs/>
          <w:color w:val="000000"/>
          <w:lang w:val="uk-UA"/>
        </w:rPr>
      </w:pPr>
      <w:r w:rsidRPr="00CA2222">
        <w:rPr>
          <w:b/>
          <w:bCs/>
          <w:color w:val="000000"/>
          <w:lang w:val="uk-UA"/>
        </w:rPr>
        <w:t>7. Координація та контроль за ходом виконання Програми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Координацію роботи по реалізації заходів Програми здійснює заступник міського голови Чубик А.В.</w:t>
      </w:r>
    </w:p>
    <w:p w:rsidR="00561256" w:rsidRDefault="00561256" w:rsidP="00561256">
      <w:pPr>
        <w:pStyle w:val="a6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5A2805">
        <w:rPr>
          <w:bCs/>
          <w:color w:val="000000"/>
          <w:lang w:val="uk-UA"/>
        </w:rPr>
        <w:t>Моніторинг</w:t>
      </w:r>
      <w:r>
        <w:rPr>
          <w:bCs/>
          <w:color w:val="000000"/>
          <w:lang w:val="uk-UA"/>
        </w:rPr>
        <w:t xml:space="preserve"> виконання заходів Програми здійснює виконавчий комітет </w:t>
      </w:r>
      <w:r w:rsidRPr="00000FCD">
        <w:rPr>
          <w:bCs/>
          <w:color w:val="000000"/>
          <w:lang w:val="uk-UA"/>
        </w:rPr>
        <w:t>Почаївськ</w:t>
      </w:r>
      <w:r>
        <w:rPr>
          <w:bCs/>
          <w:color w:val="000000"/>
          <w:lang w:val="uk-UA"/>
        </w:rPr>
        <w:t>ої</w:t>
      </w:r>
      <w:r w:rsidRPr="00000FCD">
        <w:rPr>
          <w:bCs/>
          <w:color w:val="000000"/>
          <w:lang w:val="uk-UA"/>
        </w:rPr>
        <w:t xml:space="preserve"> міськ</w:t>
      </w:r>
      <w:r>
        <w:rPr>
          <w:bCs/>
          <w:color w:val="000000"/>
          <w:lang w:val="uk-UA"/>
        </w:rPr>
        <w:t>ої</w:t>
      </w:r>
      <w:r w:rsidRPr="00000FCD">
        <w:rPr>
          <w:bCs/>
          <w:color w:val="000000"/>
          <w:lang w:val="uk-UA"/>
        </w:rPr>
        <w:t xml:space="preserve"> рад</w:t>
      </w:r>
      <w:r>
        <w:rPr>
          <w:bCs/>
          <w:color w:val="000000"/>
          <w:lang w:val="uk-UA"/>
        </w:rPr>
        <w:t>и.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DE0F3D">
        <w:rPr>
          <w:bCs/>
          <w:color w:val="000000"/>
          <w:lang w:val="uk-UA"/>
        </w:rPr>
        <w:t>Контроль за цільовим та ефективним використанням коштів здійснює головний розпорядник коштів (Почаївська міська рада).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Реалізація проектів – переможців покладається на партнера програми ГО «Почаївська група», яка виступає у статусі одержувача бюджетних коштів.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До 20 січня 2018 року виконавець програми - одержувач коштів подає звіт про реалізацію проектів переможців конкурсу.</w:t>
      </w:r>
    </w:p>
    <w:p w:rsidR="00561256" w:rsidRPr="00CA2222" w:rsidRDefault="00561256" w:rsidP="00561256">
      <w:pPr>
        <w:pStyle w:val="a6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Відповідальний виконавець програми – розпорядник коштів на основі поданого звіту виконавця програми вирішує щодо подальшого фінансування програми, ініціює питання щодо внесення змін до заходів програми або припинення програми.</w:t>
      </w: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561256" w:rsidRPr="00CA2222" w:rsidRDefault="00561256" w:rsidP="00561256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bookmarkStart w:id="1" w:name="_GoBack"/>
      <w:bookmarkEnd w:id="1"/>
      <w:r w:rsidRPr="00CA2222">
        <w:rPr>
          <w:rFonts w:ascii="Times New Roman" w:hAnsi="Times New Roman"/>
          <w:color w:val="000000"/>
          <w:sz w:val="20"/>
          <w:szCs w:val="20"/>
          <w:lang w:val="uk-UA"/>
        </w:rPr>
        <w:lastRenderedPageBreak/>
        <w:t xml:space="preserve">Додаток 2 </w:t>
      </w:r>
    </w:p>
    <w:p w:rsidR="00561256" w:rsidRPr="00CA2222" w:rsidRDefault="00561256" w:rsidP="00561256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CA2222">
        <w:rPr>
          <w:rFonts w:ascii="Times New Roman" w:hAnsi="Times New Roman"/>
          <w:color w:val="000000"/>
          <w:sz w:val="20"/>
          <w:szCs w:val="20"/>
          <w:lang w:val="uk-UA"/>
        </w:rPr>
        <w:t xml:space="preserve">до Порядку розроблення </w:t>
      </w:r>
    </w:p>
    <w:p w:rsidR="00561256" w:rsidRPr="00CA2222" w:rsidRDefault="00561256" w:rsidP="00561256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CA2222">
        <w:rPr>
          <w:rFonts w:ascii="Times New Roman" w:hAnsi="Times New Roman"/>
          <w:color w:val="000000"/>
          <w:sz w:val="20"/>
          <w:szCs w:val="20"/>
          <w:lang w:val="uk-UA"/>
        </w:rPr>
        <w:t>та виконання місцевих цільових програм</w:t>
      </w:r>
    </w:p>
    <w:p w:rsidR="00561256" w:rsidRPr="00CA2222" w:rsidRDefault="00561256" w:rsidP="00561256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561256" w:rsidRPr="00CA2222" w:rsidRDefault="00561256" w:rsidP="00561256">
      <w:pPr>
        <w:spacing w:after="0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A2222">
        <w:rPr>
          <w:rFonts w:ascii="Times New Roman" w:hAnsi="Times New Roman"/>
          <w:b/>
          <w:color w:val="000000"/>
          <w:sz w:val="28"/>
          <w:szCs w:val="28"/>
          <w:lang w:val="uk-UA"/>
        </w:rPr>
        <w:t>Ресурсне забезпечення місцевої цільової програми</w:t>
      </w:r>
    </w:p>
    <w:p w:rsidR="00561256" w:rsidRPr="00CA2222" w:rsidRDefault="00561256" w:rsidP="00561256">
      <w:pPr>
        <w:spacing w:after="0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A2222">
        <w:rPr>
          <w:rFonts w:ascii="Times New Roman" w:hAnsi="Times New Roman"/>
          <w:color w:val="000000"/>
          <w:sz w:val="24"/>
          <w:szCs w:val="24"/>
          <w:lang w:val="uk-UA"/>
        </w:rPr>
        <w:t>Впровадження місцевих ініціатив Почаївської міської об’єднаної територіальної громади на 2017 рік</w:t>
      </w:r>
      <w:r w:rsidRPr="00CA222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64"/>
        <w:gridCol w:w="2464"/>
        <w:gridCol w:w="2464"/>
      </w:tblGrid>
      <w:tr w:rsidR="00561256" w:rsidRPr="00CA2222" w:rsidTr="009C12C0">
        <w:trPr>
          <w:trHeight w:val="351"/>
        </w:trPr>
        <w:tc>
          <w:tcPr>
            <w:tcW w:w="2355" w:type="dxa"/>
            <w:vMerge w:val="restart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464" w:type="dxa"/>
            <w:vMerge w:val="restart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 фінансування (тис. грн.)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тому числі за роками*</w:t>
            </w:r>
          </w:p>
        </w:tc>
      </w:tr>
      <w:tr w:rsidR="00561256" w:rsidRPr="00CA2222" w:rsidTr="009C12C0">
        <w:trPr>
          <w:trHeight w:val="288"/>
        </w:trPr>
        <w:tc>
          <w:tcPr>
            <w:tcW w:w="2355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2017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2018*</w:t>
            </w:r>
          </w:p>
        </w:tc>
      </w:tr>
      <w:tr w:rsidR="00561256" w:rsidRPr="00CA2222" w:rsidTr="009C12C0">
        <w:tc>
          <w:tcPr>
            <w:tcW w:w="235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61256" w:rsidRPr="00CA2222" w:rsidTr="009C12C0">
        <w:tc>
          <w:tcPr>
            <w:tcW w:w="235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61256" w:rsidRPr="00CA2222" w:rsidTr="009C12C0">
        <w:tc>
          <w:tcPr>
            <w:tcW w:w="235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джерела**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61256" w:rsidRPr="00CA2222" w:rsidTr="009C12C0">
        <w:tc>
          <w:tcPr>
            <w:tcW w:w="2355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A22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2464" w:type="dxa"/>
            <w:shd w:val="clear" w:color="auto" w:fill="auto"/>
          </w:tcPr>
          <w:p w:rsidR="00561256" w:rsidRPr="00CA2222" w:rsidRDefault="00561256" w:rsidP="009C12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61256" w:rsidRPr="00CA2222" w:rsidRDefault="00561256" w:rsidP="00561256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CA2222">
        <w:rPr>
          <w:bCs/>
          <w:color w:val="000000"/>
          <w:lang w:val="uk-UA"/>
        </w:rPr>
        <w:t>Примітка : обсяг фінансування на 2018 рік буде визначатися виходячи із можливостей бюджету на 2018 рік.</w:t>
      </w:r>
    </w:p>
    <w:p w:rsidR="00561256" w:rsidRPr="00CA2222" w:rsidRDefault="00561256" w:rsidP="00561256">
      <w:pPr>
        <w:pStyle w:val="a6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6238B7" w:rsidRDefault="006238B7" w:rsidP="00DA3040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sectPr w:rsidR="006238B7" w:rsidSect="001D4722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49"/>
    <w:multiLevelType w:val="hybridMultilevel"/>
    <w:tmpl w:val="3E06E8FC"/>
    <w:lvl w:ilvl="0" w:tplc="1D0CC7C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0732BD"/>
    <w:multiLevelType w:val="hybridMultilevel"/>
    <w:tmpl w:val="BD3A08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BA3A90"/>
    <w:multiLevelType w:val="hybridMultilevel"/>
    <w:tmpl w:val="B5B8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0"/>
    <w:rsid w:val="001D4722"/>
    <w:rsid w:val="002326A9"/>
    <w:rsid w:val="00561256"/>
    <w:rsid w:val="006238B7"/>
    <w:rsid w:val="00961386"/>
    <w:rsid w:val="00D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D9443-CE19-4393-8787-A12C76EB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40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DA30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DA30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304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A304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A30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DA304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DA30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DA30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DA30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10">
    <w:name w:val="Заголовок №1"/>
    <w:basedOn w:val="a"/>
    <w:link w:val="1"/>
    <w:rsid w:val="00DA3040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DA304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DA304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rvts23">
    <w:name w:val="rvts23"/>
    <w:basedOn w:val="a0"/>
    <w:rsid w:val="00DA3040"/>
  </w:style>
  <w:style w:type="paragraph" w:styleId="a3">
    <w:name w:val="Balloon Text"/>
    <w:basedOn w:val="a"/>
    <w:link w:val="a4"/>
    <w:uiPriority w:val="99"/>
    <w:semiHidden/>
    <w:unhideWhenUsed/>
    <w:rsid w:val="00DA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A3040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238B7"/>
    <w:pPr>
      <w:ind w:left="720"/>
      <w:contextualSpacing/>
    </w:pPr>
  </w:style>
  <w:style w:type="paragraph" w:styleId="a6">
    <w:name w:val="Normal (Web)"/>
    <w:basedOn w:val="a"/>
    <w:link w:val="a7"/>
    <w:unhideWhenUsed/>
    <w:rsid w:val="0056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вичайний (веб) Знак"/>
    <w:link w:val="a6"/>
    <w:rsid w:val="005612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uiPriority w:val="22"/>
    <w:qFormat/>
    <w:rsid w:val="00561256"/>
    <w:rPr>
      <w:b/>
      <w:bCs/>
    </w:rPr>
  </w:style>
  <w:style w:type="character" w:styleId="a9">
    <w:name w:val="Hyperlink"/>
    <w:rsid w:val="0056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aiv-rada.gov.ua/strategiya-rozvytku-pochavsko-mot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chaiv-rada.gov.ua/strategiya-rozvytku-pochavsko-mot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chaiv-rada.gov.ua/strategiya-rozvytku-pochavsko-mot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8016</Words>
  <Characters>4570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3</cp:revision>
  <dcterms:created xsi:type="dcterms:W3CDTF">2017-05-09T12:20:00Z</dcterms:created>
  <dcterms:modified xsi:type="dcterms:W3CDTF">2017-05-12T12:39:00Z</dcterms:modified>
</cp:coreProperties>
</file>