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673AF" w14:textId="613E4058" w:rsidR="00FD05AF" w:rsidRPr="00AF2E61" w:rsidRDefault="002A52A8" w:rsidP="002A52A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2E61">
        <w:rPr>
          <w:rFonts w:ascii="Times New Roman" w:hAnsi="Times New Roman" w:cs="Times New Roman"/>
          <w:b/>
          <w:sz w:val="28"/>
          <w:szCs w:val="28"/>
          <w:lang w:val="uk-UA"/>
        </w:rPr>
        <w:t>Пропозиції та зауваження до проекту «Програми охорони довкілля, раціонального використання</w:t>
      </w:r>
      <w:r w:rsidRPr="00AF2E61">
        <w:rPr>
          <w:rFonts w:ascii="Times New Roman" w:hAnsi="Times New Roman" w:cs="Times New Roman"/>
          <w:b/>
          <w:sz w:val="28"/>
          <w:szCs w:val="28"/>
          <w:lang w:val="uk-UA"/>
        </w:rPr>
        <w:br/>
        <w:t>природних ресурсів та забезпечення екологічної безпеки на території Почаївської ТГ на 2022-2027 роки»,</w:t>
      </w:r>
      <w:r w:rsidRPr="00AF2E61">
        <w:rPr>
          <w:rFonts w:ascii="Times New Roman" w:hAnsi="Times New Roman" w:cs="Times New Roman"/>
          <w:b/>
          <w:sz w:val="28"/>
          <w:szCs w:val="28"/>
          <w:lang w:val="uk-UA"/>
        </w:rPr>
        <w:br/>
        <w:t>які надійшли в ході його громадського обговорення</w:t>
      </w:r>
    </w:p>
    <w:p w14:paraId="2C3755B9" w14:textId="77777777" w:rsidR="002A52A8" w:rsidRPr="00AF2E61" w:rsidRDefault="002A52A8" w:rsidP="002A52A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528"/>
        <w:gridCol w:w="2143"/>
        <w:gridCol w:w="3047"/>
        <w:gridCol w:w="3568"/>
        <w:gridCol w:w="1744"/>
        <w:gridCol w:w="3566"/>
      </w:tblGrid>
      <w:tr w:rsidR="002270E2" w:rsidRPr="00AF2E61" w14:paraId="677333FF" w14:textId="77777777" w:rsidTr="00277340">
        <w:tc>
          <w:tcPr>
            <w:tcW w:w="528" w:type="dxa"/>
          </w:tcPr>
          <w:p w14:paraId="53A0CFB3" w14:textId="77777777" w:rsidR="00413C18" w:rsidRPr="00AF2E61" w:rsidRDefault="00413C18" w:rsidP="00413C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bookmarkStart w:id="0" w:name="_Hlk87106795"/>
            <w:r w:rsidRPr="00AF2E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  <w:p w14:paraId="5B4CD8AC" w14:textId="77777777" w:rsidR="00413C18" w:rsidRPr="00AF2E61" w:rsidRDefault="00413C18" w:rsidP="00413C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F2E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143" w:type="dxa"/>
          </w:tcPr>
          <w:p w14:paraId="6B6FF4B3" w14:textId="77777777" w:rsidR="002270E2" w:rsidRPr="00AF2E61" w:rsidRDefault="009122F0" w:rsidP="00413C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F2E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Уповноважений орган</w:t>
            </w:r>
            <w:r w:rsidR="002270E2" w:rsidRPr="00AF2E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/організація</w:t>
            </w:r>
          </w:p>
          <w:p w14:paraId="2E2125BD" w14:textId="3243BB29" w:rsidR="00413C18" w:rsidRPr="00AF2E61" w:rsidRDefault="002270E2" w:rsidP="00413C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F2E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/громадянин</w:t>
            </w:r>
          </w:p>
        </w:tc>
        <w:tc>
          <w:tcPr>
            <w:tcW w:w="3047" w:type="dxa"/>
          </w:tcPr>
          <w:p w14:paraId="48B182AD" w14:textId="3AD7E7ED" w:rsidR="00413C18" w:rsidRPr="00AF2E61" w:rsidRDefault="00AF2E61" w:rsidP="00AF2E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F2E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Розділ</w:t>
            </w:r>
            <w:r w:rsidR="00E004F5" w:rsidRPr="00AF2E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проекту </w:t>
            </w:r>
            <w:r w:rsidR="00220AC1" w:rsidRPr="00AF2E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ДДП</w:t>
            </w:r>
            <w:r w:rsidR="00E004F5" w:rsidRPr="00AF2E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до якого висловлено зауваження (пропозиції)</w:t>
            </w:r>
          </w:p>
        </w:tc>
        <w:tc>
          <w:tcPr>
            <w:tcW w:w="3568" w:type="dxa"/>
          </w:tcPr>
          <w:p w14:paraId="5CEEF778" w14:textId="77777777" w:rsidR="00413C18" w:rsidRPr="00AF2E61" w:rsidRDefault="00E004F5" w:rsidP="00E004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F2E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Зауваження / пропозиція</w:t>
            </w:r>
          </w:p>
        </w:tc>
        <w:tc>
          <w:tcPr>
            <w:tcW w:w="1744" w:type="dxa"/>
          </w:tcPr>
          <w:p w14:paraId="5698A184" w14:textId="77777777" w:rsidR="00E004F5" w:rsidRPr="00AF2E61" w:rsidRDefault="00E004F5" w:rsidP="00413C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F2E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Спосіб врахування (враховано/</w:t>
            </w:r>
          </w:p>
          <w:p w14:paraId="38792683" w14:textId="77777777" w:rsidR="00413C18" w:rsidRPr="00AF2E61" w:rsidRDefault="00E004F5" w:rsidP="00413C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F2E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не враховано/ враховано частково)</w:t>
            </w:r>
          </w:p>
        </w:tc>
        <w:tc>
          <w:tcPr>
            <w:tcW w:w="3566" w:type="dxa"/>
          </w:tcPr>
          <w:p w14:paraId="1AC7361A" w14:textId="77777777" w:rsidR="00413C18" w:rsidRPr="00AF2E61" w:rsidRDefault="00E004F5" w:rsidP="00413C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F2E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</w:t>
            </w:r>
          </w:p>
        </w:tc>
      </w:tr>
      <w:bookmarkEnd w:id="0"/>
      <w:tr w:rsidR="009E6038" w:rsidRPr="00AF2E61" w14:paraId="05ECE6CE" w14:textId="77777777" w:rsidTr="00277340">
        <w:tc>
          <w:tcPr>
            <w:tcW w:w="528" w:type="dxa"/>
            <w:vMerge w:val="restart"/>
          </w:tcPr>
          <w:p w14:paraId="3239764E" w14:textId="77777777" w:rsidR="009E6038" w:rsidRPr="00AF2E61" w:rsidRDefault="009E6038" w:rsidP="006C7237">
            <w:pPr>
              <w:pStyle w:val="a5"/>
              <w:numPr>
                <w:ilvl w:val="0"/>
                <w:numId w:val="5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43" w:type="dxa"/>
            <w:vMerge w:val="restart"/>
          </w:tcPr>
          <w:p w14:paraId="617C49FA" w14:textId="77777777" w:rsidR="009E6038" w:rsidRPr="00AF2E61" w:rsidRDefault="009E6038" w:rsidP="009E60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екології та природних ресурсів Тернопільської ОДА</w:t>
            </w:r>
          </w:p>
        </w:tc>
        <w:tc>
          <w:tcPr>
            <w:tcW w:w="3047" w:type="dxa"/>
          </w:tcPr>
          <w:p w14:paraId="7E173570" w14:textId="55567A29" w:rsidR="009E6038" w:rsidRPr="00AF2E61" w:rsidRDefault="009E6038" w:rsidP="009E6038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AF2E61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Розділ 2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 </w:t>
            </w:r>
            <w:r w:rsidRPr="00AF2E61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«Визначення проблеми, на розв’язання якої спрямована програма»;</w:t>
            </w:r>
          </w:p>
          <w:p w14:paraId="4BCA3B2E" w14:textId="5F492E1C" w:rsidR="009E6038" w:rsidRDefault="009E6038" w:rsidP="009E6038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7B1E22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Розділ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3 «Мета Програми»;</w:t>
            </w:r>
          </w:p>
          <w:p w14:paraId="02F96F0B" w14:textId="5B5EACE9" w:rsidR="009E6038" w:rsidRDefault="009E6038" w:rsidP="009E6038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7B1E22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Розділ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 4 </w:t>
            </w:r>
            <w:r w:rsidRPr="007B1E22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«Обґрунтування шляхів і засобів розв’язання проблеми, обсягів та джерел фінансування; строки та етапи виконання програми»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;</w:t>
            </w:r>
          </w:p>
          <w:p w14:paraId="782EEC22" w14:textId="5B0CB06D" w:rsidR="009E6038" w:rsidRPr="00AF2E61" w:rsidRDefault="009E6038" w:rsidP="009E60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2E61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Додаток 2  «Огляд поточної екологічної ситуації на території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 </w:t>
            </w:r>
            <w:r w:rsidRPr="00AF2E61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Почаївської ТГ»</w:t>
            </w:r>
            <w:r w:rsidR="00277340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568" w:type="dxa"/>
          </w:tcPr>
          <w:p w14:paraId="382DCA72" w14:textId="684CBFDA" w:rsidR="009E6038" w:rsidRPr="00AF2E61" w:rsidRDefault="009E6038" w:rsidP="009E6038">
            <w:pPr>
              <w:tabs>
                <w:tab w:val="left" w:pos="8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Терміни „ґрунтових вод” замінити на „підземних вод”, забрудненість атмосфери” на</w:t>
            </w:r>
          </w:p>
          <w:p w14:paraId="36F32AEA" w14:textId="6420D809" w:rsidR="009E6038" w:rsidRPr="00AF2E61" w:rsidRDefault="009E6038" w:rsidP="009E6038">
            <w:pPr>
              <w:tabs>
                <w:tab w:val="left" w:pos="8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uk-UA"/>
              </w:rPr>
            </w:pPr>
            <w:r w:rsidRPr="00AF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„забрудненість атмосферного повітря”, „розподіл твердих відходів” замінити на „сортування твердих відходів”, „інвазійних рослин” замінити на „інвазійних видів рослин”</w:t>
            </w:r>
            <w:r w:rsidR="00277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44" w:type="dxa"/>
          </w:tcPr>
          <w:p w14:paraId="29C22C79" w14:textId="65F92806" w:rsidR="009E6038" w:rsidRPr="00AF2E61" w:rsidRDefault="009E6038" w:rsidP="006C72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Враховано </w:t>
            </w:r>
          </w:p>
        </w:tc>
        <w:tc>
          <w:tcPr>
            <w:tcW w:w="3566" w:type="dxa"/>
          </w:tcPr>
          <w:p w14:paraId="1930F327" w14:textId="3D996052" w:rsidR="009E6038" w:rsidRPr="00AF2E61" w:rsidRDefault="009E6038" w:rsidP="006C723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uk-UA"/>
              </w:rPr>
            </w:pPr>
          </w:p>
        </w:tc>
      </w:tr>
      <w:tr w:rsidR="009E6038" w:rsidRPr="00AF2E61" w14:paraId="51B729BE" w14:textId="77777777" w:rsidTr="00277340">
        <w:tc>
          <w:tcPr>
            <w:tcW w:w="528" w:type="dxa"/>
            <w:vMerge/>
          </w:tcPr>
          <w:p w14:paraId="3EA4EEBE" w14:textId="77777777" w:rsidR="009E6038" w:rsidRPr="00AF2E61" w:rsidRDefault="009E6038" w:rsidP="006C7237">
            <w:pPr>
              <w:pStyle w:val="a5"/>
              <w:numPr>
                <w:ilvl w:val="0"/>
                <w:numId w:val="5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43" w:type="dxa"/>
            <w:vMerge/>
          </w:tcPr>
          <w:p w14:paraId="5867CF28" w14:textId="77777777" w:rsidR="009E6038" w:rsidRPr="00AF2E61" w:rsidRDefault="009E6038" w:rsidP="009E60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47" w:type="dxa"/>
          </w:tcPr>
          <w:p w14:paraId="21830D19" w14:textId="10D939AA" w:rsidR="009E6038" w:rsidRPr="00AF2E61" w:rsidRDefault="009E6038" w:rsidP="009E6038">
            <w:pPr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  <w:lang w:val="uk-UA" w:eastAsia="uk-UA"/>
              </w:rPr>
            </w:pPr>
            <w:r w:rsidRPr="005D3AC2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Розділ 4</w:t>
            </w:r>
            <w:r w:rsidRPr="0091798D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. «Обґрунтування шляхів і засобів</w:t>
            </w:r>
            <w:r w:rsidRPr="00AF2E61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 розв’язання проблеми, обсягів та джерел фінансування; строки та </w:t>
            </w:r>
            <w:r w:rsidRPr="00AF2E61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lastRenderedPageBreak/>
              <w:t>етапи виконання програми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»</w:t>
            </w:r>
            <w:r w:rsidR="00277340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568" w:type="dxa"/>
          </w:tcPr>
          <w:p w14:paraId="3B9A2A36" w14:textId="0C02D7E3" w:rsidR="009E6038" w:rsidRPr="00AF2E61" w:rsidRDefault="009E6038" w:rsidP="009E6038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AF2E61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lastRenderedPageBreak/>
              <w:t>Цілі природоохоронного проекту після слів „модернізація мережі водопостачання і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 </w:t>
            </w:r>
            <w:r w:rsidRPr="00AF2E61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водовідведення” доповнити </w:t>
            </w:r>
            <w:r w:rsidRPr="00AF2E61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lastRenderedPageBreak/>
              <w:t>словами ”та каналізаційних очисних споруд”</w:t>
            </w:r>
            <w:r w:rsidR="00277340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744" w:type="dxa"/>
          </w:tcPr>
          <w:p w14:paraId="245220F3" w14:textId="1737DB29" w:rsidR="009E6038" w:rsidRPr="00AF2E61" w:rsidRDefault="009E6038" w:rsidP="006C72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Враховано</w:t>
            </w:r>
          </w:p>
        </w:tc>
        <w:tc>
          <w:tcPr>
            <w:tcW w:w="3566" w:type="dxa"/>
          </w:tcPr>
          <w:p w14:paraId="7DC6E11E" w14:textId="77777777" w:rsidR="009E6038" w:rsidRPr="00AF2E61" w:rsidRDefault="009E6038" w:rsidP="006C72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E6038" w:rsidRPr="00AF2E61" w14:paraId="6D651C21" w14:textId="77777777" w:rsidTr="00277340">
        <w:tc>
          <w:tcPr>
            <w:tcW w:w="528" w:type="dxa"/>
            <w:vMerge/>
          </w:tcPr>
          <w:p w14:paraId="7DEED26C" w14:textId="77777777" w:rsidR="009E6038" w:rsidRPr="00AF2E61" w:rsidRDefault="009E6038" w:rsidP="006C7237">
            <w:pPr>
              <w:pStyle w:val="a5"/>
              <w:numPr>
                <w:ilvl w:val="0"/>
                <w:numId w:val="5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43" w:type="dxa"/>
            <w:vMerge/>
          </w:tcPr>
          <w:p w14:paraId="4E0B73F7" w14:textId="77777777" w:rsidR="009E6038" w:rsidRPr="00AF2E61" w:rsidRDefault="009E6038" w:rsidP="009E60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47" w:type="dxa"/>
          </w:tcPr>
          <w:p w14:paraId="1F746B65" w14:textId="1807FB78" w:rsidR="009E6038" w:rsidRPr="005A4B32" w:rsidRDefault="009E6038" w:rsidP="009E6038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5A4B32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Розділ 5. «Перелік завдань і заходів Програми та результативні показники»</w:t>
            </w:r>
          </w:p>
          <w:p w14:paraId="286CB8F4" w14:textId="7885F018" w:rsidR="009E6038" w:rsidRPr="005A4B32" w:rsidRDefault="009E6038" w:rsidP="009E6038">
            <w:pPr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  <w:lang w:val="uk-UA" w:eastAsia="uk-UA"/>
              </w:rPr>
            </w:pPr>
            <w:r w:rsidRPr="005A4B32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Розділ 6. «Напрями діяльності та заходи Програми»</w:t>
            </w:r>
            <w:r w:rsidR="00277340" w:rsidRPr="005A4B32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568" w:type="dxa"/>
          </w:tcPr>
          <w:p w14:paraId="28F465CA" w14:textId="77777777" w:rsidR="009E6038" w:rsidRPr="005A4B32" w:rsidRDefault="009E6038" w:rsidP="009E6038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5A4B32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Завдання програми доповнити наступним заходами:</w:t>
            </w:r>
          </w:p>
          <w:p w14:paraId="1C4F7AD8" w14:textId="42B69250" w:rsidR="009E6038" w:rsidRPr="005A4B32" w:rsidRDefault="009E6038" w:rsidP="009E6038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5A4B32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 - „Розроблення </w:t>
            </w:r>
            <w:proofErr w:type="spellStart"/>
            <w:r w:rsidRPr="005A4B32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проєктів</w:t>
            </w:r>
            <w:proofErr w:type="spellEnd"/>
            <w:r w:rsidRPr="005A4B32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 землеустрою з організації та встановлення меж ландшафтного заказника місцевого значення „Вільшанки” площею 18 га, гідрологічного заказника місцевого значення «</w:t>
            </w:r>
            <w:proofErr w:type="spellStart"/>
            <w:r w:rsidRPr="005A4B32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Горинський</w:t>
            </w:r>
            <w:proofErr w:type="spellEnd"/>
            <w:r w:rsidRPr="005A4B32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” площею 46, 3 га, геологічної пам’ятки природи місцевого значення „</w:t>
            </w:r>
            <w:proofErr w:type="spellStart"/>
            <w:r w:rsidRPr="005A4B32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Старопочаївський</w:t>
            </w:r>
            <w:proofErr w:type="spellEnd"/>
            <w:r w:rsidRPr="005A4B32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 яр” площею 1,3 га, ботанічних пам’яток природи місцевого значення „Почаївська липа” площею 0,02 га і „Липова алея” площею 0,6 га;</w:t>
            </w:r>
          </w:p>
          <w:p w14:paraId="372360D3" w14:textId="5DF8F23E" w:rsidR="009E6038" w:rsidRPr="005A4B32" w:rsidRDefault="009E6038" w:rsidP="009E6038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5A4B32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- „Розроблення схеми екологічної мережі Почаївської міської територіальної громади”;</w:t>
            </w:r>
          </w:p>
          <w:p w14:paraId="6E002388" w14:textId="45D99D04" w:rsidR="009E6038" w:rsidRPr="005A4B32" w:rsidRDefault="009E6038" w:rsidP="009E6038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5A4B32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- відобразити заходи, спрямовані на заліс</w:t>
            </w:r>
            <w:r w:rsidR="005D1402" w:rsidRPr="005A4B32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н</w:t>
            </w:r>
            <w:r w:rsidRPr="005A4B32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ення малопродуктивних та деградованих земель, а також земель, що підлягають консервації.</w:t>
            </w:r>
          </w:p>
        </w:tc>
        <w:tc>
          <w:tcPr>
            <w:tcW w:w="1744" w:type="dxa"/>
          </w:tcPr>
          <w:p w14:paraId="16600FC5" w14:textId="21C776C5" w:rsidR="00F52883" w:rsidRPr="005A4B32" w:rsidRDefault="00F52883" w:rsidP="00560E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4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9E6038" w:rsidRPr="005A4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раховано</w:t>
            </w:r>
          </w:p>
        </w:tc>
        <w:tc>
          <w:tcPr>
            <w:tcW w:w="3566" w:type="dxa"/>
          </w:tcPr>
          <w:p w14:paraId="7E49B9AD" w14:textId="550B4BF0" w:rsidR="00F52883" w:rsidRPr="005D3AC2" w:rsidRDefault="00F52883" w:rsidP="00F528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798D" w:rsidRPr="00AF2E61" w14:paraId="0524E6A4" w14:textId="77777777" w:rsidTr="00277340">
        <w:tc>
          <w:tcPr>
            <w:tcW w:w="528" w:type="dxa"/>
            <w:vMerge w:val="restart"/>
          </w:tcPr>
          <w:p w14:paraId="55B9456C" w14:textId="77777777" w:rsidR="0091798D" w:rsidRPr="00AF2E61" w:rsidRDefault="0091798D" w:rsidP="00B91D4E">
            <w:pPr>
              <w:pStyle w:val="a5"/>
              <w:numPr>
                <w:ilvl w:val="0"/>
                <w:numId w:val="5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43" w:type="dxa"/>
            <w:vMerge w:val="restart"/>
          </w:tcPr>
          <w:p w14:paraId="3FA91E0C" w14:textId="6C51D9BF" w:rsidR="0091798D" w:rsidRPr="00AF2E61" w:rsidRDefault="0091798D" w:rsidP="009179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Максимчук</w:t>
            </w:r>
            <w:proofErr w:type="spellEnd"/>
            <w:r w:rsidRPr="00AF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AF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заступник міського голови з питань діяльності виконавчих органів Почаївської міської ради</w:t>
            </w:r>
          </w:p>
        </w:tc>
        <w:tc>
          <w:tcPr>
            <w:tcW w:w="3047" w:type="dxa"/>
          </w:tcPr>
          <w:p w14:paraId="55F275B8" w14:textId="4558B18B" w:rsidR="0091798D" w:rsidRPr="009E6038" w:rsidRDefault="0091798D" w:rsidP="0091798D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AF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Розділ 5. Перелік завдань і заходів Програми та результативні показники</w:t>
            </w:r>
            <w:r w:rsidR="00277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68" w:type="dxa"/>
          </w:tcPr>
          <w:p w14:paraId="519AF8FF" w14:textId="206634C3" w:rsidR="0091798D" w:rsidRDefault="0091798D" w:rsidP="00B91D4E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bidi="uk-UA"/>
              </w:rPr>
              <w:t xml:space="preserve">Пропонується доповнити словами: </w:t>
            </w:r>
            <w:r w:rsidRPr="00EB7FA1">
              <w:rPr>
                <w:rFonts w:ascii="Times New Roman" w:hAnsi="Times New Roman" w:cs="Times New Roman"/>
                <w:i/>
                <w:sz w:val="24"/>
                <w:szCs w:val="24"/>
                <w:lang w:val="uk-UA" w:bidi="uk-UA"/>
              </w:rPr>
              <w:t>«</w:t>
            </w:r>
            <w:r w:rsidRPr="00EB7FA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Сприяння природоохоронній діяльності громадських організацій та органів самоорганізації населення</w:t>
            </w:r>
            <w:r w:rsidRPr="00EB7FA1">
              <w:rPr>
                <w:rFonts w:ascii="Times New Roman" w:hAnsi="Times New Roman" w:cs="Times New Roman"/>
                <w:i/>
                <w:sz w:val="24"/>
                <w:szCs w:val="24"/>
                <w:lang w:val="uk-UA" w:bidi="uk-UA"/>
              </w:rPr>
              <w:t>»</w:t>
            </w:r>
            <w:r w:rsidR="00277340">
              <w:rPr>
                <w:rFonts w:ascii="Times New Roman" w:hAnsi="Times New Roman" w:cs="Times New Roman"/>
                <w:i/>
                <w:sz w:val="24"/>
                <w:szCs w:val="24"/>
                <w:lang w:val="uk-UA" w:bidi="uk-UA"/>
              </w:rPr>
              <w:t>.</w:t>
            </w:r>
          </w:p>
        </w:tc>
        <w:tc>
          <w:tcPr>
            <w:tcW w:w="1744" w:type="dxa"/>
          </w:tcPr>
          <w:p w14:paraId="414F30B8" w14:textId="3A7EAEEC" w:rsidR="0091798D" w:rsidRPr="00AF2E61" w:rsidRDefault="0091798D" w:rsidP="00B91D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2E61">
              <w:rPr>
                <w:rFonts w:ascii="Times New Roman" w:hAnsi="Times New Roman" w:cs="Times New Roman"/>
                <w:lang w:val="uk-UA"/>
              </w:rPr>
              <w:t>Враховано</w:t>
            </w:r>
          </w:p>
        </w:tc>
        <w:tc>
          <w:tcPr>
            <w:tcW w:w="3566" w:type="dxa"/>
          </w:tcPr>
          <w:p w14:paraId="160CD3C5" w14:textId="66C254CC" w:rsidR="0091798D" w:rsidRPr="00AF2E61" w:rsidRDefault="0091798D" w:rsidP="00B91D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798D" w:rsidRPr="00AF2E61" w14:paraId="01E3DAB4" w14:textId="77777777" w:rsidTr="00277340">
        <w:tc>
          <w:tcPr>
            <w:tcW w:w="528" w:type="dxa"/>
            <w:vMerge/>
          </w:tcPr>
          <w:p w14:paraId="42CDE174" w14:textId="77777777" w:rsidR="0091798D" w:rsidRPr="00AF2E61" w:rsidRDefault="0091798D" w:rsidP="00B91D4E">
            <w:pPr>
              <w:pStyle w:val="a5"/>
              <w:numPr>
                <w:ilvl w:val="0"/>
                <w:numId w:val="5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43" w:type="dxa"/>
            <w:vMerge/>
          </w:tcPr>
          <w:p w14:paraId="6F4EFCB9" w14:textId="025EF69D" w:rsidR="0091798D" w:rsidRPr="00AF2E61" w:rsidRDefault="0091798D" w:rsidP="00B91D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47" w:type="dxa"/>
            <w:vMerge w:val="restart"/>
          </w:tcPr>
          <w:p w14:paraId="44424064" w14:textId="73265C27" w:rsidR="0091798D" w:rsidRPr="00AF2E61" w:rsidRDefault="0091798D" w:rsidP="00277340">
            <w:pPr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  <w:lang w:val="uk-UA" w:eastAsia="uk-UA"/>
              </w:rPr>
            </w:pPr>
            <w:r w:rsidRPr="009E6038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Розділ 6 «</w:t>
            </w:r>
            <w:r w:rsidRPr="00AF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Напрями діяльності та заходи Програми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277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68" w:type="dxa"/>
          </w:tcPr>
          <w:p w14:paraId="3CAD077B" w14:textId="16BBD351" w:rsidR="0091798D" w:rsidRPr="00AF2E61" w:rsidRDefault="0091798D" w:rsidP="00B91D4E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Пропонується передбачити</w:t>
            </w:r>
            <w:r w:rsidRPr="00AF2E61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 виготовлення схем санітарної очистки населених пунктів Почаївської ТГ</w:t>
            </w:r>
          </w:p>
        </w:tc>
        <w:tc>
          <w:tcPr>
            <w:tcW w:w="1744" w:type="dxa"/>
          </w:tcPr>
          <w:p w14:paraId="5504DAA4" w14:textId="47BE047B" w:rsidR="0091798D" w:rsidRPr="00AF2E61" w:rsidRDefault="0091798D" w:rsidP="00B91D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2E61">
              <w:rPr>
                <w:rFonts w:ascii="Times New Roman" w:hAnsi="Times New Roman" w:cs="Times New Roman"/>
                <w:lang w:val="uk-UA"/>
              </w:rPr>
              <w:t>Враховано</w:t>
            </w:r>
          </w:p>
        </w:tc>
        <w:tc>
          <w:tcPr>
            <w:tcW w:w="3566" w:type="dxa"/>
          </w:tcPr>
          <w:p w14:paraId="3644A111" w14:textId="44279A26" w:rsidR="0091798D" w:rsidRPr="00AF2E61" w:rsidRDefault="0091798D" w:rsidP="00B91D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798D" w:rsidRPr="00AF2E61" w14:paraId="03567F35" w14:textId="77777777" w:rsidTr="00277340">
        <w:trPr>
          <w:trHeight w:val="848"/>
        </w:trPr>
        <w:tc>
          <w:tcPr>
            <w:tcW w:w="528" w:type="dxa"/>
            <w:vMerge/>
          </w:tcPr>
          <w:p w14:paraId="5A7D73B2" w14:textId="77777777" w:rsidR="0091798D" w:rsidRPr="00AF2E61" w:rsidRDefault="0091798D" w:rsidP="00B91D4E">
            <w:pPr>
              <w:pStyle w:val="a5"/>
              <w:numPr>
                <w:ilvl w:val="0"/>
                <w:numId w:val="5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43" w:type="dxa"/>
            <w:vMerge/>
          </w:tcPr>
          <w:p w14:paraId="19CC634F" w14:textId="77777777" w:rsidR="0091798D" w:rsidRPr="00AF2E61" w:rsidRDefault="0091798D" w:rsidP="00B91D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47" w:type="dxa"/>
            <w:vMerge/>
          </w:tcPr>
          <w:p w14:paraId="510A99E7" w14:textId="586C671D" w:rsidR="0091798D" w:rsidRPr="00AF2E61" w:rsidRDefault="0091798D" w:rsidP="00B91D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68" w:type="dxa"/>
          </w:tcPr>
          <w:p w14:paraId="1EBF0258" w14:textId="33F385F1" w:rsidR="0091798D" w:rsidRPr="00AF2E61" w:rsidRDefault="0091798D" w:rsidP="00B91D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bidi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bidi="uk-UA"/>
              </w:rPr>
              <w:t xml:space="preserve">Пропонується Захід 6 доповнити словами: </w:t>
            </w:r>
            <w:r w:rsidRPr="009E6038">
              <w:rPr>
                <w:rFonts w:ascii="Times New Roman" w:hAnsi="Times New Roman" w:cs="Times New Roman"/>
                <w:i/>
                <w:sz w:val="24"/>
                <w:szCs w:val="24"/>
                <w:lang w:val="uk-UA" w:bidi="uk-UA"/>
              </w:rPr>
              <w:t>«Ліквідація стихійних сміттєзвалищ»</w:t>
            </w:r>
            <w:r w:rsidR="00277340">
              <w:rPr>
                <w:rFonts w:ascii="Times New Roman" w:hAnsi="Times New Roman" w:cs="Times New Roman"/>
                <w:i/>
                <w:sz w:val="24"/>
                <w:szCs w:val="24"/>
                <w:lang w:val="uk-UA" w:bidi="uk-UA"/>
              </w:rPr>
              <w:t>.</w:t>
            </w:r>
          </w:p>
        </w:tc>
        <w:tc>
          <w:tcPr>
            <w:tcW w:w="1744" w:type="dxa"/>
          </w:tcPr>
          <w:p w14:paraId="20C9B220" w14:textId="5FBEC48A" w:rsidR="0091798D" w:rsidRPr="00AF2E61" w:rsidRDefault="0091798D" w:rsidP="00B91D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2E61">
              <w:rPr>
                <w:rFonts w:ascii="Times New Roman" w:hAnsi="Times New Roman" w:cs="Times New Roman"/>
                <w:lang w:val="uk-UA"/>
              </w:rPr>
              <w:t>Враховано</w:t>
            </w:r>
          </w:p>
        </w:tc>
        <w:tc>
          <w:tcPr>
            <w:tcW w:w="3566" w:type="dxa"/>
          </w:tcPr>
          <w:p w14:paraId="74C34C64" w14:textId="4FDF2FDE" w:rsidR="0091798D" w:rsidRPr="00AF2E61" w:rsidRDefault="0091798D" w:rsidP="00B91D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798D" w:rsidRPr="00AF2E61" w14:paraId="2B5CC7D8" w14:textId="77777777" w:rsidTr="00277340">
        <w:trPr>
          <w:trHeight w:val="1104"/>
        </w:trPr>
        <w:tc>
          <w:tcPr>
            <w:tcW w:w="528" w:type="dxa"/>
            <w:vMerge/>
          </w:tcPr>
          <w:p w14:paraId="7F14B8FB" w14:textId="77777777" w:rsidR="0091798D" w:rsidRPr="00AF2E61" w:rsidRDefault="0091798D" w:rsidP="00B91D4E">
            <w:pPr>
              <w:pStyle w:val="a5"/>
              <w:numPr>
                <w:ilvl w:val="0"/>
                <w:numId w:val="5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43" w:type="dxa"/>
            <w:vMerge/>
          </w:tcPr>
          <w:p w14:paraId="59097DC7" w14:textId="1DF8C52E" w:rsidR="0091798D" w:rsidRPr="00AF2E61" w:rsidRDefault="0091798D" w:rsidP="00B91D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47" w:type="dxa"/>
            <w:vMerge/>
          </w:tcPr>
          <w:p w14:paraId="5C2B25C4" w14:textId="7E6FB17B" w:rsidR="0091798D" w:rsidRPr="00AF2E61" w:rsidRDefault="0091798D" w:rsidP="00B91D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68" w:type="dxa"/>
          </w:tcPr>
          <w:p w14:paraId="7E54AE4F" w14:textId="154A8464" w:rsidR="0091798D" w:rsidRPr="00AF2E61" w:rsidRDefault="0091798D" w:rsidP="00B91D4E">
            <w:pPr>
              <w:tabs>
                <w:tab w:val="left" w:pos="8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Пропонується з</w:t>
            </w:r>
            <w:r w:rsidRPr="00AF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дійснити облік криниць не лише сільських територій, а й </w:t>
            </w:r>
            <w:proofErr w:type="spellStart"/>
            <w:r w:rsidRPr="00AF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м.Почаїв</w:t>
            </w:r>
            <w:proofErr w:type="spellEnd"/>
            <w:r w:rsidRPr="00AF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не допустити їхнє знищення.</w:t>
            </w:r>
          </w:p>
        </w:tc>
        <w:tc>
          <w:tcPr>
            <w:tcW w:w="1744" w:type="dxa"/>
          </w:tcPr>
          <w:p w14:paraId="11B0124D" w14:textId="66C59ACF" w:rsidR="0091798D" w:rsidRPr="00AF2E61" w:rsidRDefault="0091798D" w:rsidP="00B91D4E">
            <w:pPr>
              <w:tabs>
                <w:tab w:val="left" w:pos="5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2E61">
              <w:rPr>
                <w:rFonts w:ascii="Times New Roman" w:hAnsi="Times New Roman" w:cs="Times New Roman"/>
                <w:lang w:val="uk-UA"/>
              </w:rPr>
              <w:t>Враховано</w:t>
            </w:r>
          </w:p>
        </w:tc>
        <w:tc>
          <w:tcPr>
            <w:tcW w:w="3566" w:type="dxa"/>
          </w:tcPr>
          <w:p w14:paraId="1EBF48E9" w14:textId="307DBDE3" w:rsidR="0091798D" w:rsidRPr="00AF2E61" w:rsidRDefault="0091798D" w:rsidP="00B91D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10F5" w:rsidRPr="00C4595A" w14:paraId="53C6DE14" w14:textId="77777777" w:rsidTr="00277340">
        <w:tc>
          <w:tcPr>
            <w:tcW w:w="528" w:type="dxa"/>
            <w:vMerge w:val="restart"/>
          </w:tcPr>
          <w:p w14:paraId="7FAB1BA3" w14:textId="77777777" w:rsidR="00A410F5" w:rsidRPr="00AF2E61" w:rsidRDefault="00A410F5" w:rsidP="0091798D">
            <w:pPr>
              <w:pStyle w:val="a5"/>
              <w:numPr>
                <w:ilvl w:val="0"/>
                <w:numId w:val="5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43" w:type="dxa"/>
            <w:vMerge w:val="restart"/>
          </w:tcPr>
          <w:p w14:paraId="625036CC" w14:textId="77DD5E17" w:rsidR="00A410F5" w:rsidRPr="00AF2E61" w:rsidRDefault="00A410F5" w:rsidP="009179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79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Депутат Почаївської міської ради </w:t>
            </w:r>
            <w:proofErr w:type="spellStart"/>
            <w:r w:rsidRPr="009179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Зіньковський</w:t>
            </w:r>
            <w:proofErr w:type="spellEnd"/>
            <w:r w:rsidRPr="009179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 Г.</w:t>
            </w:r>
          </w:p>
        </w:tc>
        <w:tc>
          <w:tcPr>
            <w:tcW w:w="3047" w:type="dxa"/>
            <w:vMerge w:val="restart"/>
          </w:tcPr>
          <w:p w14:paraId="3A53103E" w14:textId="21AA32FD" w:rsidR="00A410F5" w:rsidRPr="00AF2E61" w:rsidRDefault="00A410F5" w:rsidP="009179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79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Розділ 5. Перелік завдань і заходів Програми та результативні показники</w:t>
            </w:r>
            <w:r w:rsidR="00277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68" w:type="dxa"/>
          </w:tcPr>
          <w:p w14:paraId="1FA2F617" w14:textId="4F791B7E" w:rsidR="00A410F5" w:rsidRPr="00AF2E61" w:rsidRDefault="00A410F5" w:rsidP="0091798D">
            <w:pPr>
              <w:tabs>
                <w:tab w:val="left" w:pos="8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Пропонується п</w:t>
            </w:r>
            <w:r w:rsidRPr="00AF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ридбати та встановити автономні камери відео-спостереження біля ймовірних місць стихійних сміттєзвалищ для ідентифікації громадян і штрафування за утилізацію побутового сміття поза встановленими місцями його збору.</w:t>
            </w:r>
          </w:p>
        </w:tc>
        <w:tc>
          <w:tcPr>
            <w:tcW w:w="1744" w:type="dxa"/>
          </w:tcPr>
          <w:p w14:paraId="49C7827B" w14:textId="74208E35" w:rsidR="00A410F5" w:rsidRPr="00AF2E61" w:rsidRDefault="00A410F5" w:rsidP="0091798D">
            <w:pPr>
              <w:tabs>
                <w:tab w:val="left" w:pos="5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2E61">
              <w:rPr>
                <w:rFonts w:ascii="Times New Roman" w:hAnsi="Times New Roman" w:cs="Times New Roman"/>
                <w:lang w:val="uk-UA"/>
              </w:rPr>
              <w:t>Враховано</w:t>
            </w:r>
            <w:r>
              <w:rPr>
                <w:rFonts w:ascii="Times New Roman" w:hAnsi="Times New Roman" w:cs="Times New Roman"/>
                <w:lang w:val="uk-UA"/>
              </w:rPr>
              <w:t xml:space="preserve"> частково</w:t>
            </w:r>
          </w:p>
        </w:tc>
        <w:tc>
          <w:tcPr>
            <w:tcW w:w="3566" w:type="dxa"/>
          </w:tcPr>
          <w:p w14:paraId="05E59662" w14:textId="241E280F" w:rsidR="00A410F5" w:rsidRPr="00AF2E61" w:rsidRDefault="00A410F5" w:rsidP="009179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1D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Розділ 5,  Завдання 6. Доповнено пунктом 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B91D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91D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«Вивчення можливості встановлення обладнання відео-спостереження для виявлення порушників біля ймовірних місць стихійних сміттєзвалищ».</w:t>
            </w:r>
          </w:p>
        </w:tc>
      </w:tr>
      <w:tr w:rsidR="00A410F5" w:rsidRPr="00AF2E61" w14:paraId="335BAC3E" w14:textId="77777777" w:rsidTr="00277340">
        <w:trPr>
          <w:trHeight w:val="557"/>
        </w:trPr>
        <w:tc>
          <w:tcPr>
            <w:tcW w:w="528" w:type="dxa"/>
            <w:vMerge/>
          </w:tcPr>
          <w:p w14:paraId="6E428C34" w14:textId="77777777" w:rsidR="00A410F5" w:rsidRPr="00AF2E61" w:rsidRDefault="00A410F5" w:rsidP="0091798D">
            <w:pPr>
              <w:pStyle w:val="a5"/>
              <w:numPr>
                <w:ilvl w:val="0"/>
                <w:numId w:val="5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43" w:type="dxa"/>
            <w:vMerge/>
          </w:tcPr>
          <w:p w14:paraId="0A09A17A" w14:textId="77777777" w:rsidR="00A410F5" w:rsidRPr="00AF2E61" w:rsidRDefault="00A410F5" w:rsidP="009179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47" w:type="dxa"/>
            <w:vMerge/>
          </w:tcPr>
          <w:p w14:paraId="2E847F17" w14:textId="77777777" w:rsidR="00A410F5" w:rsidRPr="00AF2E61" w:rsidRDefault="00A410F5" w:rsidP="009179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68" w:type="dxa"/>
          </w:tcPr>
          <w:p w14:paraId="2C0C70EB" w14:textId="35218C11" w:rsidR="00A410F5" w:rsidRPr="00AF2E61" w:rsidRDefault="00A410F5" w:rsidP="00A410F5">
            <w:pPr>
              <w:tabs>
                <w:tab w:val="left" w:pos="8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Пропонується</w:t>
            </w:r>
            <w:r w:rsidRPr="00AF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зазначити заходи недопущення спалювання громадянами листя і хмизу</w:t>
            </w:r>
            <w:r w:rsidR="00277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44" w:type="dxa"/>
          </w:tcPr>
          <w:p w14:paraId="7454BFDC" w14:textId="2950452C" w:rsidR="00A410F5" w:rsidRPr="00AF2E61" w:rsidRDefault="00A410F5" w:rsidP="0091798D">
            <w:pPr>
              <w:tabs>
                <w:tab w:val="left" w:pos="5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2E61">
              <w:rPr>
                <w:rFonts w:ascii="Times New Roman" w:hAnsi="Times New Roman" w:cs="Times New Roman"/>
                <w:lang w:val="uk-UA"/>
              </w:rPr>
              <w:t>Враховано</w:t>
            </w:r>
          </w:p>
        </w:tc>
        <w:tc>
          <w:tcPr>
            <w:tcW w:w="3566" w:type="dxa"/>
          </w:tcPr>
          <w:p w14:paraId="7251489D" w14:textId="5D9F0681" w:rsidR="00A410F5" w:rsidRPr="00AF2E61" w:rsidRDefault="00A410F5" w:rsidP="00A410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10F5" w:rsidRPr="00AF2E61" w14:paraId="6FB4D2D4" w14:textId="77777777" w:rsidTr="00277340">
        <w:trPr>
          <w:trHeight w:val="1405"/>
        </w:trPr>
        <w:tc>
          <w:tcPr>
            <w:tcW w:w="528" w:type="dxa"/>
            <w:vMerge/>
          </w:tcPr>
          <w:p w14:paraId="3DE1069A" w14:textId="77777777" w:rsidR="00A410F5" w:rsidRPr="00AF2E61" w:rsidRDefault="00A410F5" w:rsidP="0091798D">
            <w:pPr>
              <w:pStyle w:val="a5"/>
              <w:numPr>
                <w:ilvl w:val="0"/>
                <w:numId w:val="5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43" w:type="dxa"/>
            <w:vMerge/>
          </w:tcPr>
          <w:p w14:paraId="7CC718DC" w14:textId="77777777" w:rsidR="00A410F5" w:rsidRPr="00AF2E61" w:rsidRDefault="00A410F5" w:rsidP="009179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47" w:type="dxa"/>
            <w:vMerge/>
          </w:tcPr>
          <w:p w14:paraId="7D11A4BB" w14:textId="77777777" w:rsidR="00A410F5" w:rsidRPr="00AF2E61" w:rsidRDefault="00A410F5" w:rsidP="009179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68" w:type="dxa"/>
          </w:tcPr>
          <w:p w14:paraId="28E9A108" w14:textId="63073127" w:rsidR="00A410F5" w:rsidRPr="00AF2E61" w:rsidRDefault="00A410F5" w:rsidP="00A410F5">
            <w:pPr>
              <w:tabs>
                <w:tab w:val="left" w:pos="8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Пропонується </w:t>
            </w:r>
            <w:r w:rsidRPr="00A41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передбачити в Програмі виготовлення пам’яток про шкоду довкіллю і здоров’ю від спалювання сміття</w:t>
            </w:r>
            <w:r w:rsidR="00277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1744" w:type="dxa"/>
          </w:tcPr>
          <w:p w14:paraId="25D37691" w14:textId="58AB55BB" w:rsidR="00A410F5" w:rsidRPr="00AF2E61" w:rsidRDefault="00A410F5" w:rsidP="0091798D">
            <w:pPr>
              <w:tabs>
                <w:tab w:val="left" w:pos="59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враховано</w:t>
            </w:r>
          </w:p>
        </w:tc>
        <w:tc>
          <w:tcPr>
            <w:tcW w:w="3566" w:type="dxa"/>
          </w:tcPr>
          <w:p w14:paraId="3C78572B" w14:textId="17CFBAB1" w:rsidR="00A410F5" w:rsidRPr="00AF2E61" w:rsidRDefault="00A410F5" w:rsidP="00A410F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Тематика інформаційно-просвітницьких матеріалів повинна визначатися в річних планах виконання Програми.</w:t>
            </w:r>
          </w:p>
        </w:tc>
      </w:tr>
    </w:tbl>
    <w:p w14:paraId="002F014E" w14:textId="4DBA43D5" w:rsidR="002134CD" w:rsidRDefault="002134CD" w:rsidP="0027734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br w:type="page"/>
      </w:r>
    </w:p>
    <w:p w14:paraId="527B0FE4" w14:textId="77777777" w:rsidR="002134CD" w:rsidRPr="00AF2E61" w:rsidRDefault="002134CD" w:rsidP="002134C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2E6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Пропозиції та зауваження до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звіту Про стратегічну екологічну оцінку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AF2E61">
        <w:rPr>
          <w:rFonts w:ascii="Times New Roman" w:hAnsi="Times New Roman" w:cs="Times New Roman"/>
          <w:b/>
          <w:sz w:val="28"/>
          <w:szCs w:val="28"/>
          <w:lang w:val="uk-UA"/>
        </w:rPr>
        <w:t>проекту «Програми охорони довкілля, раціонального використання</w:t>
      </w:r>
      <w:r w:rsidRPr="00AF2E61">
        <w:rPr>
          <w:rFonts w:ascii="Times New Roman" w:hAnsi="Times New Roman" w:cs="Times New Roman"/>
          <w:b/>
          <w:sz w:val="28"/>
          <w:szCs w:val="28"/>
          <w:lang w:val="uk-UA"/>
        </w:rPr>
        <w:br/>
        <w:t>природних ресурсів та забезпечення екологічної безпеки на території Почаївської ТГ на 2022-2027 роки»,</w:t>
      </w:r>
      <w:r w:rsidRPr="00AF2E61">
        <w:rPr>
          <w:rFonts w:ascii="Times New Roman" w:hAnsi="Times New Roman" w:cs="Times New Roman"/>
          <w:b/>
          <w:sz w:val="28"/>
          <w:szCs w:val="28"/>
          <w:lang w:val="uk-UA"/>
        </w:rPr>
        <w:br/>
        <w:t>які надійшли в ході його громадського обговорення</w:t>
      </w:r>
    </w:p>
    <w:p w14:paraId="561D87A0" w14:textId="77777777" w:rsidR="002134CD" w:rsidRPr="00AF2E61" w:rsidRDefault="002134CD" w:rsidP="002134C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530"/>
        <w:gridCol w:w="2143"/>
        <w:gridCol w:w="3276"/>
        <w:gridCol w:w="3827"/>
        <w:gridCol w:w="2552"/>
        <w:gridCol w:w="2268"/>
      </w:tblGrid>
      <w:tr w:rsidR="002134CD" w:rsidRPr="00AF2E61" w14:paraId="084981E9" w14:textId="77777777" w:rsidTr="00CE5AAE">
        <w:tc>
          <w:tcPr>
            <w:tcW w:w="530" w:type="dxa"/>
          </w:tcPr>
          <w:p w14:paraId="45E8F13F" w14:textId="77777777" w:rsidR="002134CD" w:rsidRPr="00AF2E61" w:rsidRDefault="002134CD" w:rsidP="00CE5AAE">
            <w:pPr>
              <w:ind w:left="284" w:right="-533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43" w:type="dxa"/>
          </w:tcPr>
          <w:p w14:paraId="147BDBDA" w14:textId="77777777" w:rsidR="002134CD" w:rsidRPr="00AF2E61" w:rsidRDefault="002134CD" w:rsidP="00CE5A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2E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Уповноважений орган</w:t>
            </w:r>
          </w:p>
        </w:tc>
        <w:tc>
          <w:tcPr>
            <w:tcW w:w="3276" w:type="dxa"/>
          </w:tcPr>
          <w:p w14:paraId="6EADE520" w14:textId="77777777" w:rsidR="002134CD" w:rsidRPr="00AF2E61" w:rsidRDefault="002134CD" w:rsidP="00CE5A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27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Розділ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звіту СЕО</w:t>
            </w:r>
            <w:r w:rsidRPr="00BB27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до якого висловлено зауваження (пропозиції)</w:t>
            </w:r>
          </w:p>
        </w:tc>
        <w:tc>
          <w:tcPr>
            <w:tcW w:w="3827" w:type="dxa"/>
          </w:tcPr>
          <w:p w14:paraId="203BFFE7" w14:textId="77777777" w:rsidR="002134CD" w:rsidRPr="00AF2E61" w:rsidRDefault="002134CD" w:rsidP="00CE5A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bidi="uk-UA"/>
              </w:rPr>
            </w:pPr>
            <w:r w:rsidRPr="00AF2E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Зауваження / пропозиція</w:t>
            </w:r>
          </w:p>
        </w:tc>
        <w:tc>
          <w:tcPr>
            <w:tcW w:w="2552" w:type="dxa"/>
          </w:tcPr>
          <w:p w14:paraId="38D4FD63" w14:textId="77777777" w:rsidR="002134CD" w:rsidRPr="00AF2E61" w:rsidRDefault="002134CD" w:rsidP="00CE5A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F2E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Спосіб врахування (враховано/</w:t>
            </w:r>
          </w:p>
          <w:p w14:paraId="5E0988D8" w14:textId="77777777" w:rsidR="002134CD" w:rsidRPr="00AF2E61" w:rsidRDefault="002134CD" w:rsidP="00CE5A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2E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не враховано/ враховано частково)</w:t>
            </w:r>
          </w:p>
        </w:tc>
        <w:tc>
          <w:tcPr>
            <w:tcW w:w="2268" w:type="dxa"/>
          </w:tcPr>
          <w:p w14:paraId="2ED3A40E" w14:textId="77777777" w:rsidR="002134CD" w:rsidRPr="00AF2E61" w:rsidRDefault="002134CD" w:rsidP="00CE5A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2E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</w:t>
            </w:r>
          </w:p>
        </w:tc>
      </w:tr>
      <w:tr w:rsidR="002134CD" w:rsidRPr="00AF2E61" w14:paraId="7F012025" w14:textId="77777777" w:rsidTr="00CE5AAE">
        <w:tc>
          <w:tcPr>
            <w:tcW w:w="530" w:type="dxa"/>
            <w:vMerge w:val="restart"/>
          </w:tcPr>
          <w:p w14:paraId="07096C70" w14:textId="77777777" w:rsidR="002134CD" w:rsidRPr="00AF2E61" w:rsidRDefault="002134CD" w:rsidP="00CE5AAE">
            <w:pPr>
              <w:pStyle w:val="a5"/>
              <w:numPr>
                <w:ilvl w:val="0"/>
                <w:numId w:val="1"/>
              </w:numPr>
              <w:ind w:left="-14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43" w:type="dxa"/>
            <w:vMerge w:val="restart"/>
          </w:tcPr>
          <w:p w14:paraId="0F91BF49" w14:textId="77777777" w:rsidR="002134CD" w:rsidRPr="00AF2E61" w:rsidRDefault="002134CD" w:rsidP="00CE5A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екології та природних ресурсів Тернопільської ОДА</w:t>
            </w:r>
          </w:p>
        </w:tc>
        <w:tc>
          <w:tcPr>
            <w:tcW w:w="3276" w:type="dxa"/>
          </w:tcPr>
          <w:p w14:paraId="656408A4" w14:textId="77777777" w:rsidR="002134CD" w:rsidRPr="00AF2E61" w:rsidRDefault="002134CD" w:rsidP="00CE5A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27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Розділ 2.</w:t>
            </w:r>
            <w:r w:rsidRPr="00AF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„Характеристика поточного стану довкілля, у тому числі здоров’я населення, та прогнозні зміни цього стану»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27" w:type="dxa"/>
          </w:tcPr>
          <w:p w14:paraId="49AC7377" w14:textId="77777777" w:rsidR="002134CD" w:rsidRPr="00AF2E61" w:rsidRDefault="002134CD" w:rsidP="00CE5A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підрозділі „Біорізноманіття та природно-заповідний фонд” Розділу 2. „Характеристика поточного стану довкілля, у тому числі здоров’я населення, та прогнозні зміни цього стану» зазначити, що на території Почаївської міської ради крім вказаних заповідних територій ще обліковуються геологічна пам’ятка природи місцевого значення  «</w:t>
            </w:r>
            <w:proofErr w:type="spellStart"/>
            <w:r w:rsidRPr="00AF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Старопочаївський</w:t>
            </w:r>
            <w:proofErr w:type="spellEnd"/>
            <w:r w:rsidRPr="00AF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яр»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площею 1,3 га, ботанічні пам’ятки природи місцевого значення „Почаївська липа” – 0,02 га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„Липова алея” – 0,6 га.</w:t>
            </w:r>
          </w:p>
        </w:tc>
        <w:tc>
          <w:tcPr>
            <w:tcW w:w="2552" w:type="dxa"/>
          </w:tcPr>
          <w:p w14:paraId="77D667AE" w14:textId="77777777" w:rsidR="002134CD" w:rsidRPr="00AF2E61" w:rsidRDefault="002134CD" w:rsidP="00CE5A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Враховано</w:t>
            </w:r>
          </w:p>
        </w:tc>
        <w:tc>
          <w:tcPr>
            <w:tcW w:w="2268" w:type="dxa"/>
          </w:tcPr>
          <w:p w14:paraId="77547B0A" w14:textId="77777777" w:rsidR="002134CD" w:rsidRPr="00AF2E61" w:rsidRDefault="002134CD" w:rsidP="00CE5A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134CD" w:rsidRPr="00AF2E61" w14:paraId="1EF7AD18" w14:textId="77777777" w:rsidTr="00CE5AAE">
        <w:tc>
          <w:tcPr>
            <w:tcW w:w="530" w:type="dxa"/>
            <w:vMerge/>
          </w:tcPr>
          <w:p w14:paraId="693B32D6" w14:textId="77777777" w:rsidR="002134CD" w:rsidRPr="00AF2E61" w:rsidRDefault="002134CD" w:rsidP="00CE5AAE">
            <w:pPr>
              <w:pStyle w:val="a5"/>
              <w:numPr>
                <w:ilvl w:val="0"/>
                <w:numId w:val="1"/>
              </w:numPr>
              <w:ind w:left="-142" w:right="-53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43" w:type="dxa"/>
            <w:vMerge/>
          </w:tcPr>
          <w:p w14:paraId="1F1A1E46" w14:textId="77777777" w:rsidR="002134CD" w:rsidRPr="00AF2E61" w:rsidRDefault="002134CD" w:rsidP="00CE5A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76" w:type="dxa"/>
          </w:tcPr>
          <w:p w14:paraId="480837CC" w14:textId="77777777" w:rsidR="002134CD" w:rsidRPr="00AF2E61" w:rsidRDefault="002134CD" w:rsidP="00CE5A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 в цілому</w:t>
            </w:r>
          </w:p>
        </w:tc>
        <w:tc>
          <w:tcPr>
            <w:tcW w:w="3827" w:type="dxa"/>
          </w:tcPr>
          <w:p w14:paraId="7E517B2D" w14:textId="77777777" w:rsidR="002134CD" w:rsidRPr="00AF2E61" w:rsidRDefault="002134CD" w:rsidP="00CE5AAE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 w:bidi="uk-UA"/>
              </w:rPr>
            </w:pPr>
            <w:r w:rsidRPr="00AF2E61">
              <w:rPr>
                <w:rFonts w:ascii="Times New Roman" w:hAnsi="Times New Roman" w:cs="Times New Roman"/>
                <w:sz w:val="24"/>
                <w:szCs w:val="24"/>
                <w:lang w:val="uk-UA" w:bidi="uk-UA"/>
              </w:rPr>
              <w:t>Назви розділів Звіту привести у відповідність з вимогами статті 11 Закону 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bidi="uk-UA"/>
              </w:rPr>
              <w:t xml:space="preserve"> </w:t>
            </w:r>
            <w:r w:rsidRPr="00AF2E61">
              <w:rPr>
                <w:rFonts w:ascii="Times New Roman" w:hAnsi="Times New Roman" w:cs="Times New Roman"/>
                <w:sz w:val="24"/>
                <w:szCs w:val="24"/>
                <w:lang w:val="uk-UA" w:bidi="uk-UA"/>
              </w:rPr>
              <w:t>„Про стратегічну екологічну оцінку”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bidi="uk-UA"/>
              </w:rPr>
              <w:t>.</w:t>
            </w:r>
          </w:p>
        </w:tc>
        <w:tc>
          <w:tcPr>
            <w:tcW w:w="2552" w:type="dxa"/>
          </w:tcPr>
          <w:p w14:paraId="16EF6709" w14:textId="77777777" w:rsidR="002134CD" w:rsidRPr="00AF2E61" w:rsidRDefault="002134CD" w:rsidP="00CE5A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2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Враховано</w:t>
            </w:r>
          </w:p>
        </w:tc>
        <w:tc>
          <w:tcPr>
            <w:tcW w:w="2268" w:type="dxa"/>
          </w:tcPr>
          <w:p w14:paraId="79507725" w14:textId="77777777" w:rsidR="002134CD" w:rsidRPr="00AF2E61" w:rsidRDefault="002134CD" w:rsidP="00CE5A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40B3005" w14:textId="77777777" w:rsidR="002134CD" w:rsidRPr="00AF2E61" w:rsidRDefault="002134CD" w:rsidP="00C4595A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_GoBack"/>
      <w:bookmarkEnd w:id="1"/>
    </w:p>
    <w:sectPr w:rsidR="002134CD" w:rsidRPr="00AF2E61" w:rsidSect="00413C1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39E335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E06E3"/>
    <w:multiLevelType w:val="hybridMultilevel"/>
    <w:tmpl w:val="D340D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D2535"/>
    <w:multiLevelType w:val="hybridMultilevel"/>
    <w:tmpl w:val="484291AE"/>
    <w:lvl w:ilvl="0" w:tplc="AE0C92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F4134C8"/>
    <w:multiLevelType w:val="hybridMultilevel"/>
    <w:tmpl w:val="57024AD0"/>
    <w:lvl w:ilvl="0" w:tplc="102E2E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F13B9"/>
    <w:multiLevelType w:val="hybridMultilevel"/>
    <w:tmpl w:val="9BA44F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D56A6"/>
    <w:multiLevelType w:val="multilevel"/>
    <w:tmpl w:val="CC0209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FDD31FE"/>
    <w:multiLevelType w:val="hybridMultilevel"/>
    <w:tmpl w:val="532A0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30A2E"/>
    <w:multiLevelType w:val="multilevel"/>
    <w:tmpl w:val="531A9F02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52"/>
    <w:rsid w:val="00034B6C"/>
    <w:rsid w:val="00047C78"/>
    <w:rsid w:val="00050C58"/>
    <w:rsid w:val="0006266F"/>
    <w:rsid w:val="00076655"/>
    <w:rsid w:val="00085CA4"/>
    <w:rsid w:val="0009560F"/>
    <w:rsid w:val="000B23BE"/>
    <w:rsid w:val="000C3271"/>
    <w:rsid w:val="000E1634"/>
    <w:rsid w:val="000F252D"/>
    <w:rsid w:val="001073F9"/>
    <w:rsid w:val="00112522"/>
    <w:rsid w:val="00152A14"/>
    <w:rsid w:val="001577DF"/>
    <w:rsid w:val="00184756"/>
    <w:rsid w:val="00191561"/>
    <w:rsid w:val="001B71E5"/>
    <w:rsid w:val="001C2646"/>
    <w:rsid w:val="002134CD"/>
    <w:rsid w:val="00220AC1"/>
    <w:rsid w:val="002270E2"/>
    <w:rsid w:val="00252344"/>
    <w:rsid w:val="00277340"/>
    <w:rsid w:val="00284F98"/>
    <w:rsid w:val="002A231C"/>
    <w:rsid w:val="002A52A8"/>
    <w:rsid w:val="002B1596"/>
    <w:rsid w:val="002D71DD"/>
    <w:rsid w:val="002F3DAA"/>
    <w:rsid w:val="0033616F"/>
    <w:rsid w:val="00342CBA"/>
    <w:rsid w:val="00355003"/>
    <w:rsid w:val="003971DC"/>
    <w:rsid w:val="003C2C67"/>
    <w:rsid w:val="003E5CFC"/>
    <w:rsid w:val="003F686B"/>
    <w:rsid w:val="00402F5F"/>
    <w:rsid w:val="00413C18"/>
    <w:rsid w:val="00426178"/>
    <w:rsid w:val="0049367D"/>
    <w:rsid w:val="00494E84"/>
    <w:rsid w:val="004C699B"/>
    <w:rsid w:val="004F291A"/>
    <w:rsid w:val="00502E8E"/>
    <w:rsid w:val="005279C6"/>
    <w:rsid w:val="005331B9"/>
    <w:rsid w:val="00541652"/>
    <w:rsid w:val="005577F8"/>
    <w:rsid w:val="00560E74"/>
    <w:rsid w:val="00561EB1"/>
    <w:rsid w:val="005638CF"/>
    <w:rsid w:val="005734BC"/>
    <w:rsid w:val="005A4B32"/>
    <w:rsid w:val="005D1402"/>
    <w:rsid w:val="005D3AC2"/>
    <w:rsid w:val="005E174B"/>
    <w:rsid w:val="006053D1"/>
    <w:rsid w:val="00632661"/>
    <w:rsid w:val="00662EE5"/>
    <w:rsid w:val="00694689"/>
    <w:rsid w:val="006A3A92"/>
    <w:rsid w:val="006B641F"/>
    <w:rsid w:val="006C7237"/>
    <w:rsid w:val="006E6404"/>
    <w:rsid w:val="00710663"/>
    <w:rsid w:val="007109C0"/>
    <w:rsid w:val="00711A2F"/>
    <w:rsid w:val="00743402"/>
    <w:rsid w:val="00757A5D"/>
    <w:rsid w:val="00787A7F"/>
    <w:rsid w:val="00792235"/>
    <w:rsid w:val="007B1E22"/>
    <w:rsid w:val="007D7E45"/>
    <w:rsid w:val="007E4BFA"/>
    <w:rsid w:val="007F69E6"/>
    <w:rsid w:val="00853B67"/>
    <w:rsid w:val="00866942"/>
    <w:rsid w:val="008860A6"/>
    <w:rsid w:val="008B11BE"/>
    <w:rsid w:val="008B7482"/>
    <w:rsid w:val="00903B98"/>
    <w:rsid w:val="00911F0C"/>
    <w:rsid w:val="009122F0"/>
    <w:rsid w:val="00912A7A"/>
    <w:rsid w:val="0091798D"/>
    <w:rsid w:val="00980392"/>
    <w:rsid w:val="009A0A21"/>
    <w:rsid w:val="009E6038"/>
    <w:rsid w:val="00A3335F"/>
    <w:rsid w:val="00A410F5"/>
    <w:rsid w:val="00A61732"/>
    <w:rsid w:val="00A80C32"/>
    <w:rsid w:val="00A94152"/>
    <w:rsid w:val="00AC0231"/>
    <w:rsid w:val="00AE3D99"/>
    <w:rsid w:val="00AF2D7D"/>
    <w:rsid w:val="00AF2E61"/>
    <w:rsid w:val="00B12119"/>
    <w:rsid w:val="00B1769D"/>
    <w:rsid w:val="00B26F08"/>
    <w:rsid w:val="00B336B3"/>
    <w:rsid w:val="00B37B72"/>
    <w:rsid w:val="00B854E8"/>
    <w:rsid w:val="00B91D4E"/>
    <w:rsid w:val="00BA3C76"/>
    <w:rsid w:val="00BA524B"/>
    <w:rsid w:val="00BE6357"/>
    <w:rsid w:val="00BF24E5"/>
    <w:rsid w:val="00C22C59"/>
    <w:rsid w:val="00C4595A"/>
    <w:rsid w:val="00C47687"/>
    <w:rsid w:val="00C52B45"/>
    <w:rsid w:val="00C52D18"/>
    <w:rsid w:val="00C531CF"/>
    <w:rsid w:val="00C76A6C"/>
    <w:rsid w:val="00C82BA7"/>
    <w:rsid w:val="00C951F1"/>
    <w:rsid w:val="00CA4303"/>
    <w:rsid w:val="00CA50B3"/>
    <w:rsid w:val="00D0155C"/>
    <w:rsid w:val="00D139FC"/>
    <w:rsid w:val="00D167CD"/>
    <w:rsid w:val="00D776BE"/>
    <w:rsid w:val="00D84356"/>
    <w:rsid w:val="00DA4400"/>
    <w:rsid w:val="00DB082C"/>
    <w:rsid w:val="00DB466C"/>
    <w:rsid w:val="00DB5848"/>
    <w:rsid w:val="00DC0F38"/>
    <w:rsid w:val="00DC2DA2"/>
    <w:rsid w:val="00E004F5"/>
    <w:rsid w:val="00E05C67"/>
    <w:rsid w:val="00E313EC"/>
    <w:rsid w:val="00E354A9"/>
    <w:rsid w:val="00E5479D"/>
    <w:rsid w:val="00E55159"/>
    <w:rsid w:val="00EA03C6"/>
    <w:rsid w:val="00EA1B8C"/>
    <w:rsid w:val="00EB7FA1"/>
    <w:rsid w:val="00EC2BF5"/>
    <w:rsid w:val="00EC7BCF"/>
    <w:rsid w:val="00EE3969"/>
    <w:rsid w:val="00F311E9"/>
    <w:rsid w:val="00F33A29"/>
    <w:rsid w:val="00F34BC5"/>
    <w:rsid w:val="00F47857"/>
    <w:rsid w:val="00F52883"/>
    <w:rsid w:val="00FA0442"/>
    <w:rsid w:val="00FC15CE"/>
    <w:rsid w:val="00FC6420"/>
    <w:rsid w:val="00FD05AF"/>
    <w:rsid w:val="00FD0ABC"/>
    <w:rsid w:val="00FE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6FB6D"/>
  <w15:docId w15:val="{22E87B29-9ECA-4AA0-A54B-9CE70093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13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402F5F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BF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BF24E5"/>
    <w:rPr>
      <w:rFonts w:ascii="Tahoma" w:hAnsi="Tahoma" w:cs="Tahoma"/>
      <w:sz w:val="16"/>
      <w:szCs w:val="16"/>
    </w:rPr>
  </w:style>
  <w:style w:type="character" w:styleId="a8">
    <w:name w:val="Hyperlink"/>
    <w:basedOn w:val="a1"/>
    <w:uiPriority w:val="99"/>
    <w:unhideWhenUsed/>
    <w:rsid w:val="00BF24E5"/>
    <w:rPr>
      <w:color w:val="0000FF" w:themeColor="hyperlink"/>
      <w:u w:val="single"/>
    </w:rPr>
  </w:style>
  <w:style w:type="character" w:styleId="a9">
    <w:name w:val="FollowedHyperlink"/>
    <w:basedOn w:val="a1"/>
    <w:uiPriority w:val="99"/>
    <w:semiHidden/>
    <w:unhideWhenUsed/>
    <w:rsid w:val="00BF24E5"/>
    <w:rPr>
      <w:color w:val="800080" w:themeColor="followedHyperlink"/>
      <w:u w:val="single"/>
    </w:rPr>
  </w:style>
  <w:style w:type="paragraph" w:styleId="a">
    <w:name w:val="List Bullet"/>
    <w:basedOn w:val="a0"/>
    <w:uiPriority w:val="99"/>
    <w:unhideWhenUsed/>
    <w:rsid w:val="00220AC1"/>
    <w:pPr>
      <w:numPr>
        <w:numId w:val="7"/>
      </w:numPr>
      <w:contextualSpacing/>
    </w:pPr>
  </w:style>
  <w:style w:type="character" w:customStyle="1" w:styleId="UnresolvedMention">
    <w:name w:val="Unresolved Mention"/>
    <w:basedOn w:val="a1"/>
    <w:uiPriority w:val="99"/>
    <w:semiHidden/>
    <w:unhideWhenUsed/>
    <w:rsid w:val="00BA52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8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</b:Tag>
    <b:SourceType>InternetSite</b:SourceType>
    <b:Guid>{E673CB51-A7A6-438B-9105-CF9B98AC1ED7}</b:Guid>
    <b:URL>http://svoboda.te.ua/u-pochayevi-vidkryly-novi-ochysni-sporudy/</b:URL>
    <b:RefOrder>2</b:RefOrder>
  </b:Source>
  <b:Source>
    <b:Tag>kov</b:Tag>
    <b:SourceType>InternetSite</b:SourceType>
    <b:Guid>{986D0013-D1BD-40DB-87CC-9F2633423D99}</b:Guid>
    <b:URL>http://svoboda.te.ua/u-pochayevi-vidkryly-novi-ochysni-sporudy/</b:URL>
    <b:Author>
      <b:Author>
        <b:NameList>
          <b:Person>
            <b:Last>kovaljova-sv</b:La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505C5B0C-B8AB-4005-BC21-9B49E983C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3224</Words>
  <Characters>1839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Chubyk</cp:lastModifiedBy>
  <cp:revision>2</cp:revision>
  <dcterms:created xsi:type="dcterms:W3CDTF">2021-11-22T09:39:00Z</dcterms:created>
  <dcterms:modified xsi:type="dcterms:W3CDTF">2021-11-22T09:39:00Z</dcterms:modified>
</cp:coreProperties>
</file>