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2F" w:rsidRPr="00E735DC" w:rsidRDefault="00A45B2F" w:rsidP="00A45B2F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A45B2F" w:rsidRPr="00A55BB9" w:rsidRDefault="00A45B2F" w:rsidP="00A45B2F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A45B2F" w:rsidRDefault="00A45B2F" w:rsidP="00A45B2F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A45B2F" w:rsidRDefault="00A45B2F" w:rsidP="00A45B2F">
      <w:pPr>
        <w:ind w:left="5103"/>
        <w:jc w:val="both"/>
        <w:rPr>
          <w:b/>
          <w:sz w:val="28"/>
          <w:szCs w:val="28"/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  <w:r w:rsidRPr="00AA744D">
        <w:rPr>
          <w:b/>
          <w:sz w:val="28"/>
          <w:szCs w:val="28"/>
          <w:lang w:val="uk-UA"/>
        </w:rPr>
        <w:t xml:space="preserve"> </w:t>
      </w: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E54B56" w:rsidRDefault="00E54B56" w:rsidP="00E54B56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eastAsia="uk-UA"/>
        </w:rPr>
      </w:pP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передачу 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власність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постійне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та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оренду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що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перебувають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комунальній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</w:p>
    <w:p w:rsidR="00A45B2F" w:rsidRDefault="00A45B2F" w:rsidP="00A45B2F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A45B2F" w:rsidTr="0016392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A45B2F" w:rsidRPr="0075524A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Pr="0075524A" w:rsidRDefault="00A45B2F" w:rsidP="00163929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Pr="00B41C2A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Pr="00AA744D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Pr="00B41C2A" w:rsidRDefault="00A45B2F" w:rsidP="00163929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Pr="0075524A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A45B2F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A45B2F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A45B2F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Pr="004C0A3C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A45B2F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A45B2F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A45B2F" w:rsidRPr="00E5705E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A45B2F" w:rsidRDefault="00A45B2F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*у випадку наявності значних зауважень, проект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Почаївської міської ради 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A45B2F" w:rsidRDefault="00A45B2F" w:rsidP="0016392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A45B2F" w:rsidRDefault="00A45B2F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A45B2F" w:rsidRDefault="00A45B2F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A45B2F" w:rsidRPr="00E5705E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Почаївської міської ради спеціалісту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A45B2F" w:rsidRP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належним чином завіреної копії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A45B2F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A45B2F" w:rsidTr="00163929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2F" w:rsidRDefault="00A45B2F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A45B2F" w:rsidRPr="00E735DC" w:rsidRDefault="00A45B2F" w:rsidP="00A45B2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A45B2F" w:rsidRDefault="00A45B2F" w:rsidP="00A45B2F">
      <w:pPr>
        <w:keepNext/>
        <w:keepLines/>
        <w:ind w:left="708"/>
        <w:rPr>
          <w:lang w:val="uk-UA"/>
        </w:rPr>
      </w:pPr>
    </w:p>
    <w:p w:rsidR="00A45B2F" w:rsidRDefault="00A45B2F" w:rsidP="00A45B2F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A45B2F" w:rsidRPr="00B54D18" w:rsidRDefault="00A45B2F" w:rsidP="00A45B2F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A45B2F" w:rsidRPr="00B54D18" w:rsidRDefault="00A45B2F" w:rsidP="00A45B2F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A45B2F" w:rsidRDefault="00A45B2F" w:rsidP="00A45B2F"/>
    <w:p w:rsidR="00A45B2F" w:rsidRPr="00BE16B7" w:rsidRDefault="00A45B2F" w:rsidP="00A45B2F">
      <w:pPr>
        <w:keepNext/>
        <w:keepLines/>
        <w:ind w:left="708"/>
      </w:pPr>
    </w:p>
    <w:p w:rsidR="00A45B2F" w:rsidRPr="002965D0" w:rsidRDefault="00A45B2F" w:rsidP="00A45B2F">
      <w:pPr>
        <w:ind w:left="480"/>
        <w:jc w:val="center"/>
        <w:rPr>
          <w:b/>
          <w:sz w:val="28"/>
          <w:szCs w:val="28"/>
          <w:u w:val="single"/>
          <w:lang w:eastAsia="uk-UA"/>
        </w:rPr>
      </w:pPr>
    </w:p>
    <w:p w:rsidR="00A45B2F" w:rsidRPr="00A45B2F" w:rsidRDefault="00A45B2F" w:rsidP="00E54B56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A45B2F" w:rsidRPr="00A4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5B2F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4B56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92EB"/>
  <w15:docId w15:val="{C90AAA97-1F92-47AF-B239-5FA077BE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E54B56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3009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2023-03-20T16:06:00Z</dcterms:modified>
</cp:coreProperties>
</file>