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FD" w:rsidRPr="00E735DC" w:rsidRDefault="002724FD" w:rsidP="002724FD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2724FD" w:rsidRPr="00A55BB9" w:rsidRDefault="002724FD" w:rsidP="002724FD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2724FD" w:rsidRDefault="002724FD" w:rsidP="002724FD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2724FD" w:rsidRDefault="002724FD" w:rsidP="002724FD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2724FD" w:rsidRDefault="002724FD" w:rsidP="00AA744D">
      <w:pPr>
        <w:ind w:left="480"/>
        <w:rPr>
          <w:b/>
          <w:sz w:val="28"/>
          <w:szCs w:val="28"/>
          <w:lang w:val="uk-UA"/>
        </w:rPr>
      </w:pPr>
      <w:bookmarkStart w:id="0" w:name="_GoBack"/>
      <w:bookmarkEnd w:id="0"/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EB42FF" w:rsidRDefault="00EB42FF" w:rsidP="00EB42FF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проведення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експертної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B6C4D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2724FD" w:rsidRDefault="002724FD" w:rsidP="002724FD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2724FD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724FD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75524A" w:rsidRDefault="002724FD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B41C2A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7A3C39" w:rsidRDefault="002724FD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AA744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B41C2A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7A3C39" w:rsidRDefault="002724FD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Pr="0075524A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2724FD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2724FD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Pr="004C0A3C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2724FD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2724FD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724FD" w:rsidRPr="00E5705E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2724FD" w:rsidRDefault="002724FD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2724FD" w:rsidRPr="00E5705E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724FD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2724FD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2724FD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2724FD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D" w:rsidRDefault="002724FD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2724FD" w:rsidRPr="00E735DC" w:rsidRDefault="002724FD" w:rsidP="002724F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2724FD" w:rsidRDefault="002724FD" w:rsidP="002724FD">
      <w:pPr>
        <w:keepNext/>
        <w:keepLines/>
        <w:ind w:left="708"/>
        <w:rPr>
          <w:lang w:val="uk-UA"/>
        </w:rPr>
      </w:pPr>
    </w:p>
    <w:p w:rsidR="002724FD" w:rsidRDefault="002724FD" w:rsidP="002724FD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2724FD" w:rsidRPr="00B54D18" w:rsidRDefault="002724FD" w:rsidP="002724FD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2724FD" w:rsidRPr="00B54D18" w:rsidRDefault="002724FD" w:rsidP="002724FD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2724FD" w:rsidRPr="00573093" w:rsidRDefault="002724FD" w:rsidP="002724FD">
      <w:pPr>
        <w:ind w:left="480"/>
        <w:jc w:val="center"/>
        <w:rPr>
          <w:sz w:val="16"/>
          <w:szCs w:val="16"/>
        </w:rPr>
      </w:pPr>
    </w:p>
    <w:p w:rsidR="002724FD" w:rsidRPr="002724FD" w:rsidRDefault="002724FD" w:rsidP="00EB42FF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</w:p>
    <w:sectPr w:rsidR="002724FD" w:rsidRPr="0027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24FD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B42FF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B42FF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B42FF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2023-03-16T21:57:00Z</dcterms:modified>
</cp:coreProperties>
</file>